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36"/>
          <w:szCs w:val="36"/>
        </w:rPr>
        <w:t xml:space="preserve">DUOC UC</w:t>
      </w:r>
    </w:p>
    <w:p>
      <w:pPr>
        <w:spacing w:after="120"/>
        <w:jc w:val="center"/>
      </w:pPr>
      <w:r>
        <w:rPr>
          <w:sz w:val="24"/>
          <w:szCs w:val="24"/>
        </w:rPr>
        <w:t xml:space="preserve">Escuela de Informática y Telecomunicaciones</w:t>
      </w:r>
    </w:p>
    <w:p>
      <w:pPr>
        <w:spacing w:after="1200"/>
        <w:jc w:val="center"/>
      </w:pPr>
      <w:r>
        <w:rPr>
          <w:sz w:val="24"/>
          <w:szCs w:val="24"/>
        </w:rPr>
        <w:t xml:space="preserve">Ingeniería en Informática</w:t>
      </w:r>
    </w:p>
    <w:p>
      <w:pPr>
        <w:spacing w:after="200"/>
        <w:jc w:val="center"/>
      </w:pPr>
      <w:r>
        <w:rPr>
          <w:b/>
          <w:bCs/>
          <w:sz w:val="40"/>
          <w:szCs w:val="40"/>
        </w:rPr>
        <w:t xml:space="preserve">Documentación Técnica del Proyecto</w:t>
      </w:r>
    </w:p>
    <w:p>
      <w:pPr>
        <w:spacing w:after="1600"/>
        <w:jc w:val="center"/>
      </w:pPr>
      <w:r>
        <w:rPr>
          <w:i/>
          <w:iCs/>
          <w:color w:val="1F3864"/>
          <w:sz w:val="30"/>
          <w:szCs w:val="30"/>
        </w:rPr>
        <w:t xml:space="preserve">Gestor de Colección y Cambio del Álbum del Mundial</w:t>
      </w:r>
    </w:p>
    <w:p>
      <w:pPr>
        <w:spacing w:after="80"/>
        <w:jc w:val="center"/>
      </w:pPr>
      <w:r>
        <w:rPr>
          <w:sz w:val="24"/>
          <w:szCs w:val="24"/>
        </w:rPr>
        <w:t xml:space="preserve">Aplicación Móvil Híbrida + API RESTful</w:t>
      </w:r>
    </w:p>
    <w:p>
      <w:pPr>
        <w:spacing w:after="80"/>
        <w:jc w:val="center"/>
      </w:pPr>
      <w:r>
        <w:rPr>
          <w:color w:val="555555"/>
          <w:sz w:val="22"/>
          <w:szCs w:val="22"/>
        </w:rPr>
        <w:t xml:space="preserve">Stack: Ionic/Angular · FastAPI · SQLite · JWT</w:t>
      </w:r>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60" w:line="276"/>
        <w:jc w:val="both"/>
      </w:pPr>
      <w:r>
        <w:t xml:space="preserve">El presente documento describe el diseño y desarrollo de un sistema de información compuesto por una aplicación móvil híbrida y una API RESTful, orientado a la gestión digital de una colección de láminas del álbum del Mundial. El proyecto integra prácticas de Ingeniería de Software tales como la separación de responsabilidades, la modularidad del código, la validación de datos y la implementación de mecanismos de seguridad basados en tokens.</w:t>
      </w:r>
    </w:p>
    <w:p>
      <w:pPr>
        <w:spacing w:after="160" w:line="276"/>
        <w:jc w:val="both"/>
      </w:pPr>
      <w:r>
        <w:t xml:space="preserve">El objetivo funcional es entregar a un coleccionista una herramienta de inventario digital que le permita registrar las láminas que posee, identificar cuáles tiene repetidas para intercambio y distinguir las láminas especiales o brillantes. Para ello se implementa un mantenedor con operaciones CRUD completas (Crear, Leer, Actualizar y Borrar) sobre la entidad LaminaMundial.</w:t>
      </w:r>
    </w:p>
    <w:p>
      <w:pPr>
        <w:pStyle w:val="Heading1"/>
      </w:pPr>
      <w:r>
        <w:t xml:space="preserve">2. Arquitectura y Stack Tecnológico</w:t>
      </w:r>
    </w:p>
    <w:p>
      <w:pPr>
        <w:spacing w:after="160" w:line="276"/>
        <w:jc w:val="both"/>
      </w:pPr>
      <w:r>
        <w:t xml:space="preserve">El sistema se construyó sobre una arquitectura cliente-servidor desacoplada, separando responsabilidades entre una capa de presentación móvil (Ionic + Angular) y una capa de servicios RESTful (FastAPI), comunicadas mediante el intercambio de datos en formato JSON sobre el protocolo HTTP. Esta separación constituye una buena práctica de Ingeniería de Software, ya que permite que ambas capas evolucionen de forma independiente y que el backend pueda ser consumido por otros clientes en el futuro (web, escritorio u otros dispositivos) sin reescribir la lógica de negocio.</w:t>
      </w:r>
    </w:p>
    <w:p>
      <w:pPr>
        <w:pStyle w:val="Heading2"/>
      </w:pPr>
      <w:r>
        <w:t xml:space="preserve">2.1 Backend: FastAPI</w:t>
      </w:r>
    </w:p>
    <w:p>
      <w:pPr>
        <w:spacing w:after="160" w:line="276"/>
        <w:jc w:val="both"/>
      </w:pPr>
      <w:r>
        <w:t xml:space="preserve">En el backend se seleccionó FastAPI por dos razones técnicas centrales. La primera es su alto rendimiento: al estar construido sobre Starlette y soportar operaciones asíncronas (ASGI), ofrece tiempos de respuesta competitivos frente a frameworks tradicionales como Flask o Django, lo cual es relevante en una API que sirve datos a clientes móviles con conectividad variable. La segunda razón es la generación automática de documentación interactiva mediante el estándar OpenAPI (Swagger UI), disponible en la ruta /docs. Esta característica reduce significativamente el esfuerzo de documentación y facilita la revisión por parte del docente, quien puede probar cada endpoint directamente desde el navegador sin necesidad de herramientas externas como Postman. Adicionalmente, la integración nativa con Pydantic garantiza la validación automática y el tipado estricto de los datos de entrada y salida, reduciendo errores en tiempo de ejecución.</w:t>
      </w:r>
    </w:p>
    <w:p>
      <w:pPr>
        <w:pStyle w:val="Heading2"/>
      </w:pPr>
      <w:r>
        <w:t xml:space="preserve">2.2 Persistencia: SQLite y SQLAlchemy</w:t>
      </w:r>
    </w:p>
    <w:p>
      <w:pPr>
        <w:spacing w:after="160" w:line="276"/>
        <w:jc w:val="both"/>
      </w:pPr>
      <w:r>
        <w:t xml:space="preserve">La persistencia se resolvió con SQLite mediante el ORM SQLAlchemy. SQLite fue elegido por su naturaleza embebida y sin servidor: la base de datos completa reside en un único archivo (mundial.db), lo que simplifica drásticamente la portabilidad y la corrección académica, pues el profesor puede ejecutar y revisar el proyecto sin instalar ni configurar un motor de base de datos externo. El uso de SQLAlchemy como capa de abstracción (ORM) permite trabajar con objetos Python en lugar de sentencias SQL crudas, lo que mejora la legibilidad, reduce el riesgo de inyección SQL y facilitaría una eventual migración a motores más robustos como PostgreSQL en un entorno productivo.</w:t>
      </w:r>
    </w:p>
    <w:p>
      <w:pPr>
        <w:pStyle w:val="Heading2"/>
      </w:pPr>
      <w:r>
        <w:t xml:space="preserve">2.3 Frontend: Ionic con Angular</w:t>
      </w:r>
    </w:p>
    <w:p>
      <w:pPr>
        <w:spacing w:after="160" w:line="276"/>
        <w:jc w:val="both"/>
      </w:pPr>
      <w:r>
        <w:t xml:space="preserve">En el frontend se utilizó Ionic Framework con Angular, justificado principalmente por su agilidad multiplataforma. Ionic permite desarrollar una única base de código en tecnologías web estándar (HTML, CSS y TypeScript) que, mediante Capacitor, se empaqueta en una aplicación híbrida nativa desplegable tanto en Android como en iOS. Esto optimiza el tiempo de desarrollo y mantenimiento, evitando construir y mantener dos aplicaciones nativas separadas. Angular aporta, además, una arquitectura robusta y modular basada en componentes, servicios inyectables, guards e interceptores, patrones que permiten implementar de forma limpia la seguridad del lado del cliente.</w:t>
      </w:r>
    </w:p>
    <w:p>
      <w:pPr>
        <w:pStyle w:val="Heading2"/>
      </w:pPr>
      <w:r>
        <w:t xml:space="preserve">2.4 Seguridad: JSON Web Tokens (JWT)</w:t>
      </w:r>
    </w:p>
    <w:p>
      <w:pPr>
        <w:spacing w:after="160" w:line="276"/>
        <w:jc w:val="both"/>
      </w:pPr>
      <w:r>
        <w:t xml:space="preserve">La seguridad se implementó mediante JSON Web Tokens (JWT), un mecanismo de autenticación sin estado (stateless). Tras un login válido, el servidor emite un token firmado que el cliente almacena y envía en la cabecera Authorization de cada petición posterior. Este enfoque es idóneo para APIs REST porque no requiere mantener sesiones en memoria del servidor, favoreciendo la escalabilidad. Del lado del cliente, la seguridad se refuerza con un Guard de Angular, que impide el acceso a rutas internas sin un token presente, y un Interceptor HTTP, que automatiza la inyección del token en todas las peticiones y centraliza el manejo de errores de autorización (401), redirigiendo al usuario al login cuando el token expira.</w:t>
      </w:r>
    </w:p>
    <w:p>
      <w:pPr>
        <w:pStyle w:val="Heading1"/>
      </w:pPr>
      <w:r>
        <w:t xml:space="preserve">3. Modelo de Datos</w:t>
      </w:r>
    </w:p>
    <w:p>
      <w:pPr>
        <w:spacing w:after="160" w:line="276"/>
        <w:jc w:val="both"/>
      </w:pPr>
      <w:r>
        <w:t xml:space="preserve">La entidad central del sistema es LaminaMundial, definida con cinco atributos que cubren la información esencial para el control del inventario de la colección: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Atributo</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Tipo</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Identificador único autoincremental (clave primaria).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codigo_lamina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Código único de la lámina. Ejemplo: ARG-10, BRA-01.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nombre_jugador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Nombre del jugador representado en la lámina.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cantidad_repetidas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Cantidad de copias extra disponibles para intercambio. Valor por defecto: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es_lamina_brillante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Indica si la lámina es especial o de escudo (true) o normal (false).</w:t>
            </w:r>
          </w:p>
        </w:tc>
      </w:tr>
    </w:tbl>
    <w:p>
      <w:pPr>
        <w:pStyle w:val="Heading1"/>
        <w:spacing w:before="280"/>
      </w:pPr>
      <w:r>
        <w:t xml:space="preserve">4. Endpoints de la API</w:t>
      </w:r>
    </w:p>
    <w:p>
      <w:pPr>
        <w:spacing w:after="160" w:line="276"/>
        <w:jc w:val="both"/>
      </w:pPr>
      <w:r>
        <w:t xml:space="preserve">La API expone un endpoint de autenticación público y un conjunto de rutas CRUD protegidas por JWT. Se manejan los códigos de estado HTTP estándar para comunicar el resultado de cada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60"/>
        <w:gridCol w:w="3700"/>
        <w:gridCol w:w="150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Método</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Ruta</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Descripción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Protegido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/auth/login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Autenticación. Devuelve el token JWT.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/laminas/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Lista completa de la colección.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Sí</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/laminas/{id}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Detalle de una lámina.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Sí</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/laminas/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 una nueva lámina.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Sí</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/laminas/{id}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Actualiza una lámina existente.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Sí</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DELETE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/laminas/{id}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Elimina una lámina.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Sí</w:t>
            </w:r>
          </w:p>
        </w:tc>
      </w:tr>
    </w:tbl>
    <w:p>
      <w:pPr>
        <w:spacing w:after="160" w:before="160"/>
      </w:pPr>
      <w:r>
        <w:rPr>
          <w:b/>
          <w:bCs/>
        </w:rPr>
        <w:t xml:space="preserve">Códigos de error manejados:</w:t>
      </w:r>
    </w:p>
    <w:p>
      <w:pPr>
        <w:pStyle w:val="ListParagraph"/>
        <w:numPr>
          <w:ilvl w:val="0"/>
          <w:numId w:val="2"/>
        </w:numPr>
      </w:pPr>
      <w:r>
        <w:t xml:space="preserve">401 Unauthorized: token ausente, inválido o credenciales incorrectas.</w:t>
      </w:r>
    </w:p>
    <w:p>
      <w:pPr>
        <w:pStyle w:val="ListParagraph"/>
        <w:numPr>
          <w:ilvl w:val="0"/>
          <w:numId w:val="2"/>
        </w:numPr>
      </w:pPr>
      <w:r>
        <w:t xml:space="preserve">404 Not Found: la lámina solicitada no existe.</w:t>
      </w:r>
    </w:p>
    <w:p>
      <w:pPr>
        <w:pStyle w:val="ListParagraph"/>
        <w:numPr>
          <w:ilvl w:val="0"/>
          <w:numId w:val="2"/>
        </w:numPr>
      </w:pPr>
      <w:r>
        <w:t xml:space="preserve">409 Conflict: intento de crear una lámina con un código ya existente.</w:t>
      </w:r>
    </w:p>
    <w:p>
      <w:pPr>
        <w:pStyle w:val="Heading1"/>
        <w:spacing w:before="280"/>
      </w:pPr>
      <w:r>
        <w:t xml:space="preserve">5. Justificación de Negocio</w:t>
      </w:r>
    </w:p>
    <w:p>
      <w:pPr>
        <w:spacing w:after="160" w:line="276"/>
        <w:jc w:val="both"/>
      </w:pPr>
      <w:r>
        <w:t xml:space="preserve">El sistema aborda un problema cotidiano y concreto del coleccionismo del álbum del Mundial: la dificultad para llevar un control preciso de qué láminas se poseen, cuáles faltan y cuáles están repetidas disponibles para intercambio. Tradicionalmente, los coleccionistas gestionan esta información de memoria o en anotaciones manuales propensas a errores, lo que genera compras innecesarias de sobres y dificulta los intercambios eficientes entre personas.</w:t>
      </w:r>
    </w:p>
    <w:p>
      <w:pPr>
        <w:spacing w:after="160" w:line="276"/>
        <w:jc w:val="both"/>
      </w:pPr>
      <w:r>
        <w:t xml:space="preserve">Desde la perspectiva de sistemas de información, el proyecto aplica la lógica de un sistema de gestión de inventario clásico. La entidad LaminaMundial representa un ítem de stock, donde el atributo cantidad_repetidas cumple exactamente la función de un nivel de existencias disponibles para movimiento, equivalente al stock excedente que una bodega ofrece para distribución. Las operaciones del mantenedor CRUD reflejan las transacciones fundamentales de cualquier inventario real: el alta de un nuevo ítem (Create) corresponde a registrar una lámina recién obtenida; la consulta (Read) permite auditar el estado completo de la colección; la actualización (Update) refleja el ajuste de existencias cuando se obtienen más copias repetidas; y la baja (Delete) representa la salida de un ítem del inventario, ya sea por intercambio o por descarte.</w:t>
      </w:r>
    </w:p>
    <w:p>
      <w:pPr>
        <w:spacing w:after="160" w:line="276"/>
        <w:jc w:val="both"/>
      </w:pPr>
      <w:r>
        <w:t xml:space="preserve">El atributo es_lamina_brillante añade una dimensión de clasificación o categorización del inventario, distinguiendo ítems de mayor valor o rareza, información crítica al momento de negociar intercambios. Al digitalizar este control, la herramienta entrega valor directo al usuario: reduce las compras redundantes, optimiza los intercambios al identificar con precisión los excedentes disponibles y entrega una visión consolidada y en tiempo real del progreso de la colección. En síntesis, el proyecto traslada un patrón consolidado de la gestión empresarial de inventarios a la resolución de un problema doméstico recurrente, demostrando la transversalidad de los conceptos de modelado de datos y sistemas de información.</w:t>
      </w:r>
    </w:p>
    <w:p>
      <w:pPr>
        <w:pStyle w:val="Heading1"/>
      </w:pPr>
      <w:r>
        <w:t xml:space="preserve">6. Conclusión</w:t>
      </w:r>
    </w:p>
    <w:p>
      <w:pPr>
        <w:spacing w:after="160" w:line="276"/>
        <w:jc w:val="both"/>
      </w:pPr>
      <w:r>
        <w:t xml:space="preserve">El proyecto cumple con los requisitos planteados al integrar una API RESTful documentada y segura con una aplicación móvil híbrida multiplataforma. La elección del stack —FastAPI, SQLite con SQLAlchemy, Ionic con Angular y autenticación JWT— responde a criterios de rendimiento, portabilidad, facilidad de revisión académica y buenas prácticas de Ingeniería de Software. El resultado es un mantenedor CRUD funcional que materializa, en un contexto cotidiano, los principios de un sistema de inventario profesional.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2026-06-06T14:58:59.025Z</dcterms:created>
  <dcterms:modified xsi:type="dcterms:W3CDTF">2026-06-06T14:58:59.025Z</dcterms:modified>
</cp:coreProperties>
</file>

<file path=docProps/custom.xml><?xml version="1.0" encoding="utf-8"?>
<Properties xmlns="http://schemas.openxmlformats.org/officeDocument/2006/custom-properties" xmlns:vt="http://schemas.openxmlformats.org/officeDocument/2006/docPropsVTypes"/>
</file>