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1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7.jpeg" ContentType="image/jpeg"/>
  <Override PartName="/word/media/image15.jpeg" ContentType="image/jpeg"/>
  <Override PartName="/word/media/image1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Вариант 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Нахабов А.В.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(Нахабов просил выделять в рамочку или цветом код, подписывая Листинг №. сделаем потом, сейчас накидала просто)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--&gt; W1=poly([3],'s','c')/poly([1 5],'s','c')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W1=poly([3],'s','c')/poly([1 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W1  =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</w:t>
            </w: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W2=poly([3],'s','c')/poly([0 1 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W2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S1=syslin('c',W1)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S1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 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S2=syslin('c',W2)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S2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  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rFonts w:ascii="Liberation Sans" w:hAnsi="Liberation Sans"/>
          <w:position w:val="0"/>
          <w:sz w:val="22"/>
          <w:sz w:val="28"/>
          <w:szCs w:val="28"/>
          <w:vertAlign w:val="baseline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Так как между звеньями последовательное соединение, перемножим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object>
          <v:shape id="ole_rId2" style="width:322.7pt;height:274.25pt" o:ole="">
            <v:imagedata r:id="rId3" o:title=""/>
          </v:shape>
          <o:OLEObject Type="Embed" ProgID="" ShapeID="ole_rId2" DrawAspect="Content" ObjectID="_968725675" r:id="rId2"/>
        </w:objec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27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В записи W=poly… используются в качестве аргументов []-вектор, s-переменная, c-коэффициент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 записи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S=syslin('c',W)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задается линейная система, параметр c обозначает непрерывность(continius), W-функция, для которой система задается</w:t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W=poly([9],'s','c')/poly([0 1 10 25],'s','c')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  =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s + 10s + 25s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S=syslin('c',W)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 = 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+ 10s + 25s  </w:t>
            </w:r>
          </w:p>
        </w:tc>
      </w:tr>
    </w:tbl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вместе графики следующих функций для W(s),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1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(s) и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2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(s) (plot):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</w:t>
            </w:r>
            <w:bookmarkStart w:id="1" w:name="__DdeLink__241_3235856334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plot(csim("step",0:0.1:20,S))</w:t>
            </w:r>
            <w:bookmarkEnd w:id="1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xtitle('Переходная функция h(t) для W(s)','Время,c','Усиление')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-195580</wp:posOffset>
            </wp:positionH>
            <wp:positionV relativeFrom="paragraph">
              <wp:posOffset>6350</wp:posOffset>
            </wp:positionV>
            <wp:extent cx="3656330" cy="2757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3277870</wp:posOffset>
            </wp:positionH>
            <wp:positionV relativeFrom="paragraph">
              <wp:posOffset>4445</wp:posOffset>
            </wp:positionV>
            <wp:extent cx="3551555" cy="2678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2682240</wp:posOffset>
            </wp:positionV>
            <wp:extent cx="3488690" cy="263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plot(csim("impulse",0:0.1:25,S))//аналогично для S2, для  S1 сделано от 0 до 15, так как дальше пустота была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xtitle('Импульсно-переходная функция h(t) для W(s)','Время,c','W(t)')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-68580</wp:posOffset>
            </wp:positionH>
            <wp:positionV relativeFrom="paragraph">
              <wp:posOffset>33020</wp:posOffset>
            </wp:positionV>
            <wp:extent cx="3526155" cy="2659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3299460</wp:posOffset>
            </wp:positionH>
            <wp:positionV relativeFrom="paragraph">
              <wp:posOffset>33020</wp:posOffset>
            </wp:positionV>
            <wp:extent cx="3636645" cy="27425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2774950</wp:posOffset>
            </wp:positionV>
            <wp:extent cx="3474085" cy="2620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bode(S,0.01,10000)  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xtitle('Логарифмические частотные характеристики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65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343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990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gainplot(S,0.01,10000)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xtitle('Логарифмическая амплитудно-фазовая частотная характеристика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681355</wp:posOffset>
            </wp:positionH>
            <wp:positionV relativeFrom="paragraph">
              <wp:posOffset>635</wp:posOffset>
            </wp:positionV>
            <wp:extent cx="4827905" cy="31908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445135</wp:posOffset>
            </wp:positionH>
            <wp:positionV relativeFrom="paragraph">
              <wp:posOffset>3175</wp:posOffset>
            </wp:positionV>
            <wp:extent cx="5438140" cy="3825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540385</wp:posOffset>
            </wp:positionH>
            <wp:positionV relativeFrom="paragraph">
              <wp:posOffset>-6985</wp:posOffset>
            </wp:positionV>
            <wp:extent cx="5580380" cy="37668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7. Построить амплитудно-фазовую характеристику (частотный годограф Найквиста) (nyquist).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-219710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3175000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-203200</wp:posOffset>
            </wp:positionH>
            <wp:positionV relativeFrom="paragraph">
              <wp:posOffset>204470</wp:posOffset>
            </wp:positionV>
            <wp:extent cx="3378200" cy="254762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Д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ля s1, s2,s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tbl>
      <w:tblPr>
        <w:tblW w:w="104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nyquist(S1);</w:t>
            </w:r>
          </w:p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nyquist(S2);</w:t>
            </w:r>
          </w:p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nyquist(S);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8. </w:t>
      </w:r>
      <w:bookmarkStart w:id="2" w:name="__DdeLink__322_2615056274"/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АЧХ и ФЧХ (repfreq, dbphi).</w:t>
      </w:r>
    </w:p>
    <w:p>
      <w:pPr>
        <w:pStyle w:val="Normal"/>
        <w:rPr/>
      </w:pPr>
      <w:r>
        <w:rPr>
          <w:rFonts w:asciiTheme="majorHAnsi" w:hAnsiTheme="majorHAnsi"/>
          <w:sz w:val="24"/>
          <w:szCs w:val="24"/>
          <w:lang w:val="en-US"/>
        </w:rPr>
        <w:t xml:space="preserve">I </w:t>
      </w:r>
      <w:r>
        <w:rPr>
          <w:rFonts w:asciiTheme="majorHAnsi" w:hAnsiTheme="majorHAnsi"/>
          <w:sz w:val="24"/>
          <w:szCs w:val="24"/>
        </w:rPr>
        <w:t>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762500" cy="355790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739640" cy="351345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</w:r>
    </w:p>
    <w:p>
      <w:pPr>
        <w:pStyle w:val="Normal"/>
        <w:rPr/>
      </w:pPr>
      <w:r>
        <w:rPr>
          <w:rFonts w:asciiTheme="majorHAnsi" w:hAnsiTheme="majorHAnsi"/>
          <w:sz w:val="24"/>
          <w:szCs w:val="24"/>
          <w:lang w:val="en-US"/>
        </w:rPr>
        <w:t>II</w:t>
      </w:r>
      <w:r>
        <w:rPr>
          <w:rFonts w:asciiTheme="majorHAnsi" w:hAnsiTheme="majorHAnsi"/>
          <w:sz w:val="24"/>
          <w:szCs w:val="24"/>
        </w:rPr>
        <w:t xml:space="preserve"> 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672965" cy="352425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695190" cy="352425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</w:t>
      </w:r>
      <w:r>
        <w:rPr>
          <w:rFonts w:asciiTheme="majorHAnsi" w:hAnsiTheme="majorHAnsi"/>
          <w:sz w:val="28"/>
          <w:szCs w:val="28"/>
        </w:rPr>
        <w:t>теперь всё только для W(s)</w:t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9. Для W(s) определить вид установившегося выходного сигнала при подаче на вход сигнала x1 t=2 sin10t . Представить оба сигнала на одном графике (repfreq, dbphi).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  <w:highlight w:val="red"/>
        </w:rPr>
        <w:t>???</w:t>
      </w:r>
    </w:p>
    <w:p>
      <w:pPr>
        <w:pStyle w:val="Normal"/>
        <w:rPr/>
      </w:pPr>
      <w:bookmarkStart w:id="3" w:name="_GoBack1"/>
      <w:bookmarkEnd w:id="3"/>
      <w:r>
        <w:rPr/>
        <w:t>--&gt; plot(csim("2*sin(10*t)",0:0.1:20,S))</w:t>
      </w:r>
    </w:p>
    <w:p>
      <w:pPr>
        <w:pStyle w:val="Normal"/>
        <w:rPr/>
      </w:pPr>
      <w:r>
        <w:rPr/>
        <w:t>на строке    80 функции csim ( /usr/share/scilab/modules/cacsd/macros/csim.sci строка 91 )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csim: Неверное значение входного параметра №1: должно быть из множества {"step","impuls"}.</w:t>
      </w:r>
    </w:p>
    <w:p>
      <w:pPr>
        <w:pStyle w:val="Normal"/>
        <w:rPr/>
      </w:pPr>
      <w:r>
        <w:rPr/>
        <w:t>--&gt; plot(csim(2*sin(10*t),0:0.1:20,S))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Неопределённая переменная: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plot(csim(2*sin(10*5),0:0.1:20,S))</w:t>
      </w:r>
    </w:p>
    <w:p>
      <w:pPr>
        <w:pStyle w:val="Normal"/>
        <w:rPr/>
      </w:pPr>
      <w:r>
        <w:rPr/>
        <w:t>на строке    87 функции csim ( /usr/share/scilab/modules/cacsd/macros/csim.sci строка 98 )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csim: Несовместимые входные параметры №1 и №2: ожидалось одинаковое количество столбцов.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10. Проверить устойчивость САУ с помощью критерия Гурвица (</w:t>
      </w:r>
      <w:r>
        <w:rPr>
          <w:rFonts w:asciiTheme="majorHAnsi" w:hAnsiTheme="majorHAnsi"/>
          <w:sz w:val="28"/>
          <w:szCs w:val="28"/>
          <w:lang w:val="en-US"/>
        </w:rPr>
        <w:t>det</w:t>
      </w:r>
      <w:r>
        <w:rPr>
          <w:rFonts w:asciiTheme="majorHAnsi" w:hAnsiTheme="majorHAnsi"/>
          <w:sz w:val="28"/>
          <w:szCs w:val="28"/>
        </w:rPr>
        <w:t>).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Необходимое условие: все коэффициенты характеристического уравнения должны быть одного знака.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Достаточное условие: если в характеристическом уравнении есть знак минус – система является неустойчивой.</w:t>
      </w:r>
    </w:p>
    <w:p>
      <w:pPr>
        <w:pStyle w:val="Normal"/>
        <w:rPr/>
      </w:pPr>
      <w:r>
        <w:rPr>
          <w:rFonts w:asciiTheme="majorHAnsi" w:hAnsiTheme="majorHAnsi"/>
          <w:sz w:val="24"/>
          <w:szCs w:val="28"/>
          <w:lang w:val="en-US"/>
        </w:rPr>
        <w:t>I</w:t>
      </w:r>
      <w:r>
        <w:rPr>
          <w:rFonts w:asciiTheme="majorHAnsi" w:hAnsiTheme="majorHAnsi"/>
          <w:sz w:val="24"/>
          <w:szCs w:val="28"/>
        </w:rPr>
        <w:t xml:space="preserve"> 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Необходимое условие устойчивости становится достаточным для уравнений первой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i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Условие устойчивости выполняется, следовательно, по критерию Гурвица разомкнутая система </w:t>
      </w:r>
      <w:r>
        <w:rPr>
          <w:rFonts w:eastAsia="" w:asciiTheme="majorHAnsi" w:eastAsiaTheme="minorEastAsia" w:hAnsiTheme="majorHAnsi"/>
          <w:b/>
          <w:sz w:val="28"/>
          <w:szCs w:val="28"/>
        </w:rPr>
        <w:t>устойчива</w:t>
      </w:r>
      <w:r>
        <w:rPr>
          <w:rFonts w:eastAsia="" w:asciiTheme="majorHAnsi" w:eastAsiaTheme="minorEastAsia" w:hAnsiTheme="majorHAnsi"/>
          <w:sz w:val="28"/>
          <w:szCs w:val="28"/>
        </w:rPr>
        <w:t>.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4"/>
          <w:szCs w:val="28"/>
          <w:lang w:val="en-US"/>
        </w:rPr>
        <w:t>II</w:t>
      </w:r>
      <w:r>
        <w:rPr>
          <w:rFonts w:eastAsia="" w:asciiTheme="majorHAnsi" w:eastAsiaTheme="minorEastAsia" w:hAnsiTheme="majorHAnsi"/>
          <w:sz w:val="24"/>
          <w:szCs w:val="28"/>
        </w:rPr>
        <w:t xml:space="preserve"> система 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4"/>
          <w:szCs w:val="28"/>
          <w:highlight w:val="yellow"/>
          <w:lang w:val="en-US"/>
        </w:rPr>
        <w:t>v</w:t>
      </w:r>
      <w:r>
        <w:rPr>
          <w:rFonts w:eastAsia="" w:asciiTheme="majorHAnsi" w:eastAsiaTheme="minorEastAsia" w:hAnsiTheme="majorHAnsi"/>
          <w:sz w:val="24"/>
          <w:szCs w:val="28"/>
          <w:highlight w:val="yellow"/>
        </w:rPr>
        <w:t xml:space="preserve"> Тут немного сумбурно, подумаю, что подсократить</w:t>
      </w:r>
      <w:r>
        <w:rPr>
          <w:rFonts w:eastAsia="" w:asciiTheme="majorHAnsi" w:eastAsiaTheme="minorEastAsia" w:hAnsiTheme="majorHAnsi"/>
          <w:sz w:val="24"/>
          <w:szCs w:val="28"/>
        </w:rPr>
        <w:t xml:space="preserve"> 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Как и для уравнений первой степени, необходимое условие устойчивости становится достаточным для уравнений второй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Проверим последний диагональный минор системы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Theme="majorHAnsi" w:eastAsiaTheme="minorEastAsia" w:hAnsiTheme="majorHAnsi"/>
          <w:sz w:val="28"/>
          <w:szCs w:val="28"/>
        </w:rPr>
        <w:t xml:space="preserve"> на знак. 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--&gt; det([1 0; 5 0])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ans  =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>0.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Theme="majorHAnsi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Т.к.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Theme="majorHAnsi" w:eastAsiaTheme="minorEastAsia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= 0 и все предыдущие определители Гурвица положительны, то можно сделать вывод, что разомкнутая система находится на границе устойчивости.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  <w:bookmarkEnd w:id="2"/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6981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1668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Application>LibreOffice/6.0.7.3$Linux_X86_64 LibreOffice_project/00m0$Build-3</Application>
  <Pages>13</Pages>
  <Words>564</Words>
  <Characters>3701</Characters>
  <CharactersWithSpaces>4576</CharactersWithSpaces>
  <Paragraphs>128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2019-12-17T20:34:57Z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