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6.jpeg" ContentType="image/jpe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jpeg" ContentType="image/jpeg"/>
  <Override PartName="/word/media/image17.jpeg" ContentType="image/jpe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Liberation Sans" w:hAnsi="Liberation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caps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Индивидуальное домашнее задание</w:t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Вариант 1.1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Колосова Е. С.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Проверил: Нахабов А.В.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ind w:left="708" w:right="0" w:hanging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t>1. Изобразить структурную схему САУ и записать ее передаточную функцию W(s) (poly, syslin).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Ts</m:t>
                </m:r>
              </m:e>
            </m:d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, 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Примем k=3, T=5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(Нахабов просил выделять в рамочку или цветом код, подписывая Листинг №. сделаем потом, сейчас накидала просто)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W1=poly([3],'s','c')/poly([1 5],'s','c')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W1  =  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   </w:t>
      </w:r>
    </w:p>
    <w:p>
      <w:pPr>
        <w:pStyle w:val="Normal"/>
        <w:spacing w:before="0" w:after="0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1 + 5s  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W2=poly([3],'s','c')/poly([0 1 5],'s','c')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W2  =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2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 + 5s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S1=syslin('c',W1)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S1  =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1 + 5s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S2=syslin('c',W2)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S2  =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2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 + 5s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</w:p>
    <w:p>
      <w:pPr>
        <w:pStyle w:val="Normal"/>
        <w:rPr>
          <w:rFonts w:ascii="Liberation Sans" w:hAnsi="Liberation Sans"/>
          <w:position w:val="0"/>
          <w:sz w:val="22"/>
          <w:sz w:val="28"/>
          <w:szCs w:val="28"/>
          <w:vertAlign w:val="baseline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Так как между звеньями последовательное соединение, перемножим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1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 и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2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object>
          <v:shape id="ole_rId2" style="width:322.7pt;height:274.25pt" o:ole="">
            <v:imagedata r:id="rId3" o:title=""/>
          </v:shape>
          <o:OLEObject Type="Embed" ProgID="" ShapeID="ole_rId2" DrawAspect="Content" ObjectID="_477193740" r:id="rId2"/>
        </w:objec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327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В записи W=poly… используются в качестве аргументов []-вектор, s-переменная, c-коэффициент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В записи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S=syslin('c',W)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задается линейная система, параметр c обозначает непрерывность(continius), W-функция, для которой система задается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DDDDDD" w:val="clear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W=poly([9],'s','c')/poly([0 1 10 25],'s','c')</w:t>
            </w:r>
          </w:p>
          <w:p>
            <w:pPr>
              <w:pStyle w:val="Normal"/>
              <w:shd w:fill="DDDDDD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  =       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s + 10s + 25s</w:t>
            </w:r>
          </w:p>
          <w:p>
            <w:pPr>
              <w:pStyle w:val="Normal"/>
              <w:shd w:fill="DDDDDD" w:val="clear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S=syslin('c',W)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 = </w:t>
            </w:r>
          </w:p>
          <w:p>
            <w:pPr>
              <w:pStyle w:val="Normal"/>
              <w:shd w:fill="DDDDDD" w:val="clear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   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+ 10s + 25s  </w:t>
            </w:r>
          </w:p>
        </w:tc>
      </w:tr>
    </w:tbl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2. Записать дифференциальное уравнение, определяющее функционирование САУ.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вместе графики следующих функций для W(s),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1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(s) и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2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(s) (plot):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3. Построить график переходной функции h(t)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/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plot(csim("step",0:0.1:20,S)) //аналогично для S1, S2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xtitle('Переходная функция h(t) для W(s)','Время,c','Усиление')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-195580</wp:posOffset>
            </wp:positionH>
            <wp:positionV relativeFrom="paragraph">
              <wp:posOffset>6350</wp:posOffset>
            </wp:positionV>
            <wp:extent cx="3656330" cy="27571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3277870</wp:posOffset>
            </wp:positionH>
            <wp:positionV relativeFrom="paragraph">
              <wp:posOffset>4445</wp:posOffset>
            </wp:positionV>
            <wp:extent cx="3551555" cy="2678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-27940</wp:posOffset>
            </wp:positionH>
            <wp:positionV relativeFrom="paragraph">
              <wp:posOffset>2682240</wp:posOffset>
            </wp:positionV>
            <wp:extent cx="3488690" cy="26308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4. Построить график импульсно-переходной функции w(t) (csim).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plot(csim("impulse",0:0.1:25,S))//аналогично для S2, для  S1 сделано от 0 до 15, так как дальше пустота была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xtitle('Импульсно-переходная функция h(t) для W(s)','Время,c','W(t)')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-68580</wp:posOffset>
            </wp:positionH>
            <wp:positionV relativeFrom="paragraph">
              <wp:posOffset>33020</wp:posOffset>
            </wp:positionV>
            <wp:extent cx="3526155" cy="26593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3299460</wp:posOffset>
            </wp:positionH>
            <wp:positionV relativeFrom="paragraph">
              <wp:posOffset>33020</wp:posOffset>
            </wp:positionV>
            <wp:extent cx="3636645" cy="27425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-16510</wp:posOffset>
            </wp:positionH>
            <wp:positionV relativeFrom="paragraph">
              <wp:posOffset>2774950</wp:posOffset>
            </wp:positionV>
            <wp:extent cx="3474085" cy="2620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5. Построить логарифмические частотные характеристики (диаграммы Боде) (bode).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bode(S,0.01,10000)   //аналогично для S1, S2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xtitle('Логарифмические частотные характеристики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657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3431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990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6. Построить ЛАЧХ (gainplot).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gainplot(S,0.01,10000) //аналогично для S1, S2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xtitle('Логарифмическая амплитудно-фазовая частотная характеристика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lightGray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681355</wp:posOffset>
            </wp:positionH>
            <wp:positionV relativeFrom="paragraph">
              <wp:posOffset>635</wp:posOffset>
            </wp:positionV>
            <wp:extent cx="4827905" cy="31908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445135</wp:posOffset>
            </wp:positionH>
            <wp:positionV relativeFrom="paragraph">
              <wp:posOffset>3175</wp:posOffset>
            </wp:positionV>
            <wp:extent cx="5438140" cy="38252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540385</wp:posOffset>
            </wp:positionH>
            <wp:positionV relativeFrom="paragraph">
              <wp:posOffset>-6985</wp:posOffset>
            </wp:positionV>
            <wp:extent cx="5580380" cy="37668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7. Построить амплитудно-фазовую характеристику (частотный годограф Найквиста) (nyquist).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-219710</wp:posOffset>
            </wp:positionH>
            <wp:positionV relativeFrom="paragraph">
              <wp:posOffset>86360</wp:posOffset>
            </wp:positionV>
            <wp:extent cx="3928110" cy="2962275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3175000</wp:posOffset>
            </wp:positionH>
            <wp:positionV relativeFrom="paragraph">
              <wp:posOffset>86360</wp:posOffset>
            </wp:positionV>
            <wp:extent cx="3928110" cy="2962275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-203200</wp:posOffset>
            </wp:positionH>
            <wp:positionV relativeFrom="paragraph">
              <wp:posOffset>204470</wp:posOffset>
            </wp:positionV>
            <wp:extent cx="3378200" cy="254762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Д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ля s1, s2,s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DDDDDD" w:val="clear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nyquist(S1);</w:t>
            </w:r>
          </w:p>
          <w:p>
            <w:pPr>
              <w:pStyle w:val="Normal"/>
              <w:shd w:fill="DDDDDD" w:val="clear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nyquist(S2);</w:t>
            </w:r>
          </w:p>
          <w:p>
            <w:pPr>
              <w:pStyle w:val="Normal"/>
              <w:shd w:fill="DDDDDD" w:val="clear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nyquist(S);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8. </w:t>
      </w:r>
      <w:bookmarkStart w:id="1" w:name="__DdeLink__322_2615056274"/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АЧХ и ФЧХ (repfreq, dbphi).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4"/>
          <w:szCs w:val="24"/>
          <w:lang w:val="en-US"/>
        </w:rPr>
        <w:t xml:space="preserve">I </w:t>
      </w:r>
      <w:r>
        <w:rPr>
          <w:rFonts w:ascii="Cambria" w:hAnsi="Cambria" w:asciiTheme="majorHAnsi" w:hAnsiTheme="majorHAnsi"/>
          <w:sz w:val="24"/>
          <w:szCs w:val="24"/>
        </w:rPr>
        <w:t>система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762500" cy="355790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4761720" cy="3557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0.15pt;width:374.9pt;height:280.05pt;mso-position-vertical:top" type="shapetype_75">
                <v:imagedata r:id="rId2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4"/>
        </w:rPr>
        <w:t>ФЧХ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739640" cy="3513455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4739040" cy="351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6.65pt;width:373.1pt;height:276.55pt;mso-position-vertical:top" type="shapetype_75">
                <v:imagedata r:id="rId2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sz w:val="24"/>
          <w:szCs w:val="24"/>
          <w:lang w:val="en-US"/>
        </w:rPr>
        <w:t>II</w:t>
      </w:r>
      <w:r>
        <w:rPr>
          <w:rFonts w:ascii="Cambria" w:hAnsi="Cambria" w:asciiTheme="majorHAnsi" w:hAnsiTheme="majorHAnsi"/>
          <w:sz w:val="24"/>
          <w:szCs w:val="24"/>
        </w:rPr>
        <w:t xml:space="preserve"> система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72965" cy="352425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4672440" cy="352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7.5pt;width:367.85pt;height:277.4pt;mso-position-vertical:top" type="shapetype_75">
                <v:imagedata r:id="rId2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ФЧХ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695190" cy="3524250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4694400" cy="352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7.5pt;width:369.6pt;height:277.4pt;mso-position-vertical:top" type="shapetype_75">
                <v:imagedata r:id="rId2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9. Для W(s) определить вид установившегося выходного сигнала при подаче на вход сигнала x1 t=2 sin10t . Представить оба сигнала на одном графике (repfreq, dbphi).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  <w:highlight w:val="red"/>
        </w:rPr>
        <w:t>???</w:t>
      </w:r>
      <w:bookmarkStart w:id="2" w:name="_GoBack1"/>
      <w:bookmarkEnd w:id="2"/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10. Проверить устойчивость САУ с помощью критерия Гурвица (</w:t>
      </w:r>
      <w:r>
        <w:rPr>
          <w:rFonts w:ascii="Cambria" w:hAnsi="Cambria" w:asciiTheme="majorHAnsi" w:hAnsiTheme="majorHAnsi"/>
          <w:sz w:val="28"/>
          <w:szCs w:val="28"/>
          <w:lang w:val="en-US"/>
        </w:rPr>
        <w:t>det</w:t>
      </w:r>
      <w:r>
        <w:rPr>
          <w:rFonts w:ascii="Cambria" w:hAnsi="Cambria" w:asciiTheme="majorHAnsi" w:hAnsiTheme="majorHAnsi"/>
          <w:sz w:val="28"/>
          <w:szCs w:val="28"/>
        </w:rPr>
        <w:t>).</w:t>
      </w:r>
    </w:p>
    <w:p>
      <w:pPr>
        <w:pStyle w:val="Normal"/>
        <w:rPr/>
      </w:pPr>
      <w:r>
        <w:rPr>
          <w:rFonts w:ascii="Cambria" w:hAnsi="Cambria" w:asciiTheme="majorHAnsi" w:hAnsiTheme="majorHAnsi"/>
          <w:i/>
          <w:sz w:val="28"/>
          <w:szCs w:val="28"/>
        </w:rPr>
        <w:t>Необходимое условие: все коэффициенты характеристического уравнения должны быть одного знака.</w:t>
      </w:r>
    </w:p>
    <w:p>
      <w:pPr>
        <w:pStyle w:val="Normal"/>
        <w:rPr/>
      </w:pPr>
      <w:r>
        <w:rPr>
          <w:rFonts w:ascii="Cambria" w:hAnsi="Cambria" w:asciiTheme="majorHAnsi" w:hAnsiTheme="majorHAnsi"/>
          <w:i/>
          <w:sz w:val="28"/>
          <w:szCs w:val="28"/>
        </w:rPr>
        <w:t>Достаточное условие: если в характеристическом уравнении есть знак минус – система является неустойчивой.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4"/>
          <w:szCs w:val="28"/>
          <w:lang w:val="en-US"/>
        </w:rPr>
        <w:t>I</w:t>
      </w:r>
      <w:r>
        <w:rPr>
          <w:rFonts w:ascii="Cambria" w:hAnsi="Cambria" w:asciiTheme="majorHAnsi" w:hAnsiTheme="majorHAnsi"/>
          <w:sz w:val="24"/>
          <w:szCs w:val="28"/>
        </w:rPr>
        <w:t xml:space="preserve"> система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Необходимое условие устойчивости становится достаточным для уравнений первой степени, т.к.: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i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Условие устойчивости выполняется, следовательно, по критерию Гурвица разомкнутая система </w:t>
      </w:r>
      <w:r>
        <w:rPr>
          <w:rFonts w:eastAsia="" w:ascii="Cambria" w:hAnsi="Cambria" w:asciiTheme="majorHAnsi" w:eastAsiaTheme="minorEastAsia" w:hAnsiTheme="majorHAnsi"/>
          <w:b/>
          <w:sz w:val="28"/>
          <w:szCs w:val="28"/>
        </w:rPr>
        <w:t>устойчива</w:t>
      </w:r>
      <w:r>
        <w:rPr>
          <w:rFonts w:eastAsia="" w:ascii="Cambria" w:hAnsi="Cambria" w:asciiTheme="majorHAnsi" w:eastAsiaTheme="minorEastAsia" w:hAnsiTheme="majorHAnsi"/>
          <w:sz w:val="28"/>
          <w:szCs w:val="28"/>
        </w:rPr>
        <w:t>.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4"/>
          <w:szCs w:val="28"/>
          <w:lang w:val="en-US"/>
        </w:rPr>
        <w:t>II</w:t>
      </w:r>
      <w:r>
        <w:rPr>
          <w:rFonts w:eastAsia="" w:ascii="Cambria" w:hAnsi="Cambria" w:asciiTheme="majorHAnsi" w:eastAsiaTheme="minorEastAsia" w:hAnsiTheme="majorHAnsi"/>
          <w:sz w:val="24"/>
          <w:szCs w:val="28"/>
        </w:rPr>
        <w:t xml:space="preserve"> система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4"/>
          <w:szCs w:val="28"/>
          <w:highlight w:val="yellow"/>
          <w:lang w:val="en-US"/>
        </w:rPr>
        <w:t>v</w:t>
      </w:r>
      <w:r>
        <w:rPr>
          <w:rFonts w:eastAsia="" w:ascii="Cambria" w:hAnsi="Cambria" w:asciiTheme="majorHAnsi" w:eastAsiaTheme="minorEastAsia" w:hAnsiTheme="majorHAnsi"/>
          <w:sz w:val="24"/>
          <w:szCs w:val="28"/>
          <w:highlight w:val="yellow"/>
        </w:rPr>
        <w:t xml:space="preserve"> Тут немного сумбурно, подумаю, что подсократить</w:t>
      </w:r>
      <w:r>
        <w:rPr>
          <w:rFonts w:eastAsia="" w:ascii="Cambria" w:hAnsi="Cambria" w:asciiTheme="majorHAnsi" w:eastAsiaTheme="minorEastAsia" w:hAnsiTheme="majorHAnsi"/>
          <w:sz w:val="24"/>
          <w:szCs w:val="28"/>
        </w:rPr>
        <w:t xml:space="preserve"> </w:t>
      </w:r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Как и для уравнений первой степени, необходимое условие устойчивости становится достаточным для уравнений второй степени, т.к.: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Проверим последний диагональный минор системы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ascii="Cambria" w:hAnsi="Cambria" w:asciiTheme="majorHAnsi" w:eastAsiaTheme="minorEastAsia" w:hAnsiTheme="majorHAnsi"/>
          <w:sz w:val="28"/>
          <w:szCs w:val="28"/>
        </w:rPr>
        <w:t xml:space="preserve"> на знак. 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>--&gt; det([1 0; 5 0])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sz w:val="28"/>
          <w:szCs w:val="28"/>
        </w:rPr>
        <w:t>ans  =</w:t>
      </w:r>
    </w:p>
    <w:p>
      <w:pPr>
        <w:pStyle w:val="Normal"/>
        <w:rPr/>
      </w:pPr>
      <w:r>
        <w:rPr>
          <w:rFonts w:ascii="Cambria" w:hAnsi="Cambria" w:asciiTheme="majorHAnsi" w:hAnsiTheme="majorHAnsi"/>
          <w:sz w:val="28"/>
          <w:szCs w:val="28"/>
        </w:rPr>
        <w:t xml:space="preserve">   </w:t>
      </w:r>
      <w:r>
        <w:rPr>
          <w:rFonts w:ascii="Cambria" w:hAnsi="Cambria" w:asciiTheme="majorHAnsi" w:hAnsiTheme="majorHAnsi"/>
          <w:sz w:val="28"/>
          <w:szCs w:val="28"/>
        </w:rPr>
        <w:t>0.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Cambria" w:hAnsi="Cambria" w:asciiTheme="majorHAnsi" w:hAnsiTheme="majorHAnsi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Т.к. 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ascii="Cambria" w:hAnsi="Cambria" w:asciiTheme="majorHAnsi" w:eastAsiaTheme="minorEastAsia" w:hAnsiTheme="majorHAnsi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= 0 и все предыдущие определители Гурвица положительны, то можно сделать вывод, что разомкнутая система находится на границе устойчивости.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w:bookmarkEnd w:id="1"/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869815"/>
            <wp:effectExtent l="0" t="0" r="0" b="0"/>
            <wp:wrapSquare wrapText="largest"/>
            <wp:docPr id="21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16685"/>
            <wp:effectExtent l="0" t="0" r="0" b="0"/>
            <wp:wrapSquare wrapText="largest"/>
            <wp:docPr id="22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character" w:styleId="WW8Num31z0">
    <w:name w:val="WW8Num31z0"/>
    <w:qFormat/>
    <w:rPr/>
  </w:style>
  <w:style w:type="character" w:styleId="WW8Num31z1">
    <w:name w:val="WW8Num31z1"/>
    <w:qFormat/>
    <w:rPr>
      <w:b/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>
    <w:name w:val="No List"/>
    <w:qFormat/>
  </w:style>
  <w:style w:type="numbering" w:styleId="WW8Num10">
    <w:name w:val="WW8Num1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Application>LibreOffice/6.2.6.2$Linux_X86_64 LibreOffice_project/20$Build-2</Application>
  <Pages>12</Pages>
  <Words>501</Words>
  <Characters>3182</Characters>
  <CharactersWithSpaces>4001</CharactersWithSpaces>
  <Paragraphs>118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2019-12-05T16:30:46Z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