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6.jpeg" ContentType="image/jpe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jpeg" ContentType="image/jpeg"/>
  <Override PartName="/word/media/image17.jpeg" ContentType="image/jpe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eastAsia="Times New Roman" w:cs="Times New Roman" w:ascii="Liberation Sans" w:hAnsi="Liberation Sans"/>
          <w:b w:val="false"/>
          <w:bCs w:val="false"/>
          <w:spacing w:val="4"/>
          <w:w w:val="98"/>
          <w:sz w:val="28"/>
          <w:szCs w:val="28"/>
        </w:rPr>
        <w:t>МИНИСТЕРСТВО НАУКИ  И ВЫСШЕГО</w:t>
      </w:r>
      <w:r>
        <w:rPr>
          <w:rFonts w:eastAsia="Times New Roman" w:cs="Times New Roman" w:ascii="Liberation Sans" w:hAnsi="Liberation Sans"/>
          <w:b w:val="false"/>
          <w:bCs w:val="false"/>
          <w:spacing w:val="4"/>
          <w:sz w:val="28"/>
          <w:szCs w:val="28"/>
        </w:rPr>
        <w:t xml:space="preserve"> </w:t>
      </w:r>
      <w:r>
        <w:rPr>
          <w:rFonts w:eastAsia="Times New Roman" w:cs="Times New Roman" w:ascii="Liberation Sans" w:hAnsi="Liberation Sans"/>
          <w:b w:val="false"/>
          <w:bCs w:val="false"/>
          <w:spacing w:val="4"/>
          <w:w w:val="98"/>
          <w:sz w:val="28"/>
          <w:szCs w:val="28"/>
        </w:rPr>
        <w:t>ОБРАЗОВАНИЯ РОССИЙСКОЙ ФЕДЕРАЦИ</w:t>
      </w:r>
      <w:r>
        <w:rPr>
          <w:rFonts w:eastAsia="Times New Roman" w:cs="Times New Roman" w:ascii="Liberation Sans" w:hAnsi="Liberation Sans"/>
          <w:b w:val="false"/>
          <w:bCs w:val="false"/>
          <w:spacing w:val="-1"/>
          <w:w w:val="98"/>
          <w:sz w:val="28"/>
          <w:szCs w:val="28"/>
        </w:rPr>
        <w:t>И</w:t>
      </w:r>
    </w:p>
    <w:p>
      <w:pPr>
        <w:pStyle w:val="Normal"/>
        <w:spacing w:lineRule="auto" w:line="240" w:before="0" w:after="0"/>
        <w:jc w:val="center"/>
        <w:rPr>
          <w:rFonts w:ascii="Liberation Sans" w:hAnsi="Liberation Sans" w:eastAsia="Times New Roman" w:cs="Times New Roman"/>
          <w:b w:val="false"/>
          <w:b w:val="false"/>
          <w:bCs w:val="false"/>
          <w:caps/>
          <w:sz w:val="28"/>
          <w:szCs w:val="28"/>
        </w:rPr>
      </w:pPr>
      <w:r>
        <w:rPr>
          <w:rFonts w:eastAsia="Times New Roman" w:cs="Times New Roman" w:ascii="Liberation Sans" w:hAnsi="Liberation Sans"/>
          <w:b w:val="false"/>
          <w:bCs w:val="false"/>
          <w:caps/>
          <w:sz w:val="28"/>
          <w:szCs w:val="28"/>
        </w:rPr>
        <w:t>федеральное государственное АВТОНОМНОЕ образовательное учреждение высшего  образования</w:t>
      </w:r>
    </w:p>
    <w:p>
      <w:pPr>
        <w:pStyle w:val="Normal"/>
        <w:spacing w:lineRule="auto" w:line="240" w:before="0" w:after="0"/>
        <w:jc w:val="center"/>
        <w:rPr>
          <w:rFonts w:ascii="Liberation Sans" w:hAnsi="Liberation Sans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Liberation Sans" w:hAnsi="Liberation Sans"/>
          <w:b w:val="false"/>
          <w:bCs w:val="false"/>
          <w:sz w:val="28"/>
          <w:szCs w:val="28"/>
        </w:rPr>
        <w:t>«Национальный исследовательский ядерный университет «МИФИ»</w:t>
      </w:r>
    </w:p>
    <w:p>
      <w:pPr>
        <w:pStyle w:val="Normal"/>
        <w:spacing w:lineRule="auto" w:line="240" w:before="0" w:after="0"/>
        <w:jc w:val="center"/>
        <w:rPr>
          <w:rFonts w:ascii="Liberation Sans" w:hAnsi="Liberation Sans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Liberation Sans" w:hAnsi="Liberation Sans"/>
          <w:b w:val="false"/>
          <w:bCs w:val="false"/>
          <w:sz w:val="28"/>
          <w:szCs w:val="28"/>
        </w:rPr>
        <w:t xml:space="preserve">Обнинский институт атомной энергетики </w:t>
      </w:r>
    </w:p>
    <w:p>
      <w:pPr>
        <w:pStyle w:val="Normal"/>
        <w:spacing w:lineRule="atLeast" w:line="240" w:before="0" w:after="0"/>
        <w:jc w:val="center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Rsrt"/>
        <w:spacing w:before="0" w:after="0"/>
        <w:jc w:val="center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  <w:lang w:val="ru-RU"/>
        </w:rPr>
        <w:t>Индивидуальное домашнее задание</w:t>
      </w:r>
    </w:p>
    <w:p>
      <w:pPr>
        <w:pStyle w:val="Rsrt"/>
        <w:spacing w:before="0" w:after="0"/>
        <w:jc w:val="center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  <w:lang w:val="ru-RU"/>
        </w:rPr>
        <w:t>Вариант 1.1</w:t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                                                               </w:t>
      </w: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Выполнила: студентка  ОИКС</w:t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 xml:space="preserve">3 курса группы </w:t>
      </w:r>
      <w:bookmarkStart w:id="0" w:name="_GoBack"/>
      <w:bookmarkEnd w:id="0"/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ИС-Б17</w:t>
      </w:r>
    </w:p>
    <w:p>
      <w:pPr>
        <w:pStyle w:val="Normal"/>
        <w:jc w:val="right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  <w:lang w:val="ru-RU"/>
        </w:rPr>
        <w:t>Колосова Е. С.</w:t>
      </w:r>
    </w:p>
    <w:p>
      <w:pPr>
        <w:pStyle w:val="Normal"/>
        <w:jc w:val="right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Петренко В. Ю.</w:t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 xml:space="preserve">Проверил: Нахабов А.В. </w:t>
      </w: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                                                   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                                                   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ind w:left="708" w:right="0" w:hanging="0"/>
        <w:jc w:val="center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>Обнинск, 2019</w:t>
      </w:r>
    </w:p>
    <w:p>
      <w:pPr>
        <w:pStyle w:val="Normal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  <w:t>1. Изобразить структурную схему САУ и записать ее передаточную функцию W(s) (poly, syslin).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Ts</m:t>
            </m:r>
          </m:den>
        </m:f>
      </m:oMath>
      <w:r>
        <w:rPr>
          <w:rFonts w:ascii="Liberation Sans" w:hAnsi="Liberation Sans"/>
          <w:b w:val="false"/>
          <w:bCs w:val="false"/>
          <w:sz w:val="28"/>
          <w:szCs w:val="28"/>
        </w:rPr>
        <w:t xml:space="preserve">,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Ts</m:t>
                </m:r>
              </m:e>
            </m:d>
          </m:den>
        </m:f>
      </m:oMath>
      <w:r>
        <w:rPr>
          <w:rFonts w:ascii="Liberation Sans" w:hAnsi="Liberation Sans"/>
          <w:b w:val="false"/>
          <w:bCs w:val="false"/>
          <w:sz w:val="28"/>
          <w:szCs w:val="28"/>
        </w:rPr>
        <w:t xml:space="preserve">, 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k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(1)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=k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(2)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, T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(1)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=T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(2)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Примем k=3, T=5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(Нахабов просил выделять в рамочку или цветом код, подписывая Листинг №. сделаем потом, сейчас накидала просто)</w:t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--&gt; W1=poly([3],'s','c')/poly([1 5],'s','c')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 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fill="DDDDDD" w:val="clear"/>
              <w:rPr/>
            </w:pPr>
            <w:r>
              <w:rPr>
                <w:rFonts w:ascii="Liberation Sans" w:hAnsi="Liberation Sans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W1=poly([3],'s','c')/poly([1 5],'s','c')</w:t>
            </w:r>
          </w:p>
          <w:p>
            <w:pPr>
              <w:pStyle w:val="Normal"/>
              <w:shd w:fill="DDDDDD" w:val="clear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W1  =       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3     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    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1 + 5s  </w:t>
            </w:r>
            <w:r>
              <w:rPr>
                <w:rFonts w:ascii="Liberation Sans" w:hAnsi="Liberation Sans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pStyle w:val="Normal"/>
              <w:shd w:fill="DDDDDD" w:val="clear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W2=poly([3],'s','c')/poly([0 1 5],'s','c')</w:t>
            </w:r>
          </w:p>
          <w:p>
            <w:pPr>
              <w:pStyle w:val="Normal"/>
              <w:shd w:fill="DDDDDD" w:val="clear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W2  =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3     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 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2 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 + 5s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S1=syslin('c',W1)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S1  =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3     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 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1 + 5s   </w:t>
            </w:r>
          </w:p>
          <w:p>
            <w:pPr>
              <w:pStyle w:val="Normal"/>
              <w:shd w:fill="DDDDDD" w:val="clear"/>
              <w:spacing w:before="0" w:after="0"/>
              <w:rPr>
                <w:rFonts w:ascii="DejaVu Sans Mono" w:hAnsi="DejaVu Sans Mono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S2=syslin('c',W2)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S2  =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3     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 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2  </w:t>
            </w:r>
          </w:p>
          <w:p>
            <w:pPr>
              <w:pStyle w:val="Normal"/>
              <w:shd w:fill="DDDDDD" w:val="clear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 + 5s   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</w:r>
    </w:p>
    <w:p>
      <w:pPr>
        <w:pStyle w:val="Normal"/>
        <w:rPr>
          <w:rFonts w:ascii="Liberation Sans" w:hAnsi="Liberation Sans"/>
          <w:position w:val="0"/>
          <w:sz w:val="22"/>
          <w:sz w:val="28"/>
          <w:szCs w:val="28"/>
          <w:vertAlign w:val="baseline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Так как между звеньями последовательное соединение, перемножим W</w:t>
      </w:r>
      <w:r>
        <w:rPr>
          <w:rFonts w:ascii="Liberation Sans" w:hAnsi="Liberation Sans"/>
          <w:b w:val="false"/>
          <w:bCs w:val="false"/>
          <w:sz w:val="28"/>
          <w:szCs w:val="28"/>
          <w:vertAlign w:val="subscript"/>
          <w:lang w:val="ru-RU"/>
        </w:rPr>
        <w:t>1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(s) и W</w:t>
      </w:r>
      <w:r>
        <w:rPr>
          <w:rFonts w:ascii="Liberation Sans" w:hAnsi="Liberation Sans"/>
          <w:b w:val="false"/>
          <w:bCs w:val="false"/>
          <w:sz w:val="28"/>
          <w:szCs w:val="28"/>
          <w:vertAlign w:val="subscript"/>
          <w:lang w:val="ru-RU"/>
        </w:rPr>
        <w:t>2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(s)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  <w:object>
          <v:shape id="ole_rId2" style="width:322.7pt;height:274.25pt" o:ole="">
            <v:imagedata r:id="rId3" o:title=""/>
          </v:shape>
          <o:OLEObject Type="Embed" ProgID="" ShapeID="ole_rId2" DrawAspect="Content" ObjectID="_1636192921" r:id="rId2"/>
        </w:objec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327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В записи W=poly… используются в качестве аргументов []-вектор, s-переменная, c-коэффициент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2"/>
          <w:sz w:val="28"/>
          <w:szCs w:val="28"/>
          <w:vertAlign w:val="baseline"/>
          <w:lang w:val="ru-RU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В записи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S=syslin('c',W)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 задается линейная система, параметр c обозначает непрерывность(continius), W-функция, для которой система задается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val="clear" w:fill="DDDDDD"/>
              <w:rPr/>
            </w:pPr>
            <w:r>
              <w:rPr>
                <w:rFonts w:ascii="Liberation Sans" w:hAnsi="Liberation Sans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W=poly([9],'s','c')/poly([0 1 10 25],'s','c')</w:t>
            </w:r>
          </w:p>
          <w:p>
            <w:pPr>
              <w:pStyle w:val="Normal"/>
              <w:shd w:val="clear" w:fill="DDDDDD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W  =       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9   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--------------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2     3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s + 10s + 25s</w:t>
            </w:r>
          </w:p>
          <w:p>
            <w:pPr>
              <w:pStyle w:val="Normal"/>
              <w:shd w:val="clear" w:fill="DDDDDD"/>
              <w:spacing w:before="0" w:after="0"/>
              <w:rPr>
                <w:rFonts w:ascii="DejaVu Sans Mono" w:hAnsi="DejaVu Sans Mono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S=syslin('c',W)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  = </w:t>
            </w:r>
          </w:p>
          <w:p>
            <w:pPr>
              <w:pStyle w:val="Normal"/>
              <w:shd w:val="clear" w:fill="DDDDDD"/>
              <w:spacing w:before="0" w:after="0"/>
              <w:rPr>
                <w:rFonts w:ascii="DejaVu Sans Mono" w:hAnsi="DejaVu Sans Mono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    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9       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--------------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    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2     3  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  </w:t>
            </w: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s + 10s + 25s  </w:t>
            </w:r>
          </w:p>
        </w:tc>
      </w:tr>
    </w:tbl>
    <w:p>
      <w:pPr>
        <w:pStyle w:val="Normal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2. Записать дифференциальное уравнение, определяющее функционирование САУ.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25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Построить вместе графики следующих функций для W(s), W</w:t>
      </w:r>
      <w:r>
        <w:rPr>
          <w:rFonts w:ascii="DejaVu Sans Mono" w:hAnsi="DejaVu Sans Mono"/>
          <w:b/>
          <w:bCs/>
          <w:sz w:val="28"/>
          <w:szCs w:val="28"/>
          <w:highlight w:val="white"/>
          <w:vertAlign w:val="subscript"/>
          <w:lang w:val="ru-RU"/>
        </w:rPr>
        <w:t>1</w:t>
      </w: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(s) и W</w:t>
      </w:r>
      <w:r>
        <w:rPr>
          <w:rFonts w:ascii="DejaVu Sans Mono" w:hAnsi="DejaVu Sans Mono"/>
          <w:b/>
          <w:bCs/>
          <w:sz w:val="28"/>
          <w:szCs w:val="28"/>
          <w:highlight w:val="white"/>
          <w:vertAlign w:val="subscript"/>
          <w:lang w:val="ru-RU"/>
        </w:rPr>
        <w:t>2</w:t>
      </w: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 xml:space="preserve">(s) (plot): 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3. Построить график переходной функции h(t) (csim).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--&gt; </w:t>
            </w:r>
            <w:bookmarkStart w:id="1" w:name="__DdeLink__241_3235856334"/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plot(csim("step",0:0.1:20,S))</w:t>
            </w:r>
            <w:bookmarkEnd w:id="1"/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//аналогично для S1, S2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xgrid()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xtitle('Переходная функция h(t) для W(s)','Время,c','Усиление')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-195580</wp:posOffset>
            </wp:positionH>
            <wp:positionV relativeFrom="paragraph">
              <wp:posOffset>6350</wp:posOffset>
            </wp:positionV>
            <wp:extent cx="3656330" cy="27571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3277870</wp:posOffset>
            </wp:positionH>
            <wp:positionV relativeFrom="paragraph">
              <wp:posOffset>4445</wp:posOffset>
            </wp:positionV>
            <wp:extent cx="3551555" cy="26784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-27940</wp:posOffset>
            </wp:positionH>
            <wp:positionV relativeFrom="paragraph">
              <wp:posOffset>2682240</wp:posOffset>
            </wp:positionV>
            <wp:extent cx="3488690" cy="263080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4. Построить график импульсно-переходной функции w(t) (csim).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plot(csim("impulse",0:0.1:25,S))//аналогично для S2, для  S1 сделано от 0 до 15, так как дальше пустота была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xgrid()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xtitle('Импульсно-переходная функция h(t) для W(s)','Время,c','W(t)')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-68580</wp:posOffset>
            </wp:positionH>
            <wp:positionV relativeFrom="paragraph">
              <wp:posOffset>33020</wp:posOffset>
            </wp:positionV>
            <wp:extent cx="3526155" cy="265938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3299460</wp:posOffset>
            </wp:positionH>
            <wp:positionV relativeFrom="paragraph">
              <wp:posOffset>33020</wp:posOffset>
            </wp:positionV>
            <wp:extent cx="3636645" cy="27425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-16510</wp:posOffset>
            </wp:positionH>
            <wp:positionV relativeFrom="paragraph">
              <wp:posOffset>2774950</wp:posOffset>
            </wp:positionV>
            <wp:extent cx="3474085" cy="262001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5. Построить логарифмические частотные характеристики (диаграммы Боде) (bode).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bode(S,0.01,10000)   //аналогично для S1, S2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xgrid()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xtitle('Логарифмические частотные характеристики для W(s)')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46570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73431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79908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6. Построить ЛАЧХ (gainplot).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gainplot(S,0.01,10000) //аналогично для S1, S2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xgrid()</w:t>
            </w:r>
          </w:p>
          <w:p>
            <w:pPr>
              <w:pStyle w:val="Normal"/>
              <w:shd w:val="clear" w:fill="DDDDDD"/>
              <w:spacing w:before="0" w:after="0"/>
              <w:rPr/>
            </w:pPr>
            <w:r>
              <w:rPr>
                <w:rFonts w:ascii="DejaVu Sans Mono" w:hAnsi="DejaVu Sans Mono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xtitle('Логарифмическая амплитудно-фазовая частотная характеристика для W(s)')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681355</wp:posOffset>
            </wp:positionH>
            <wp:positionV relativeFrom="paragraph">
              <wp:posOffset>635</wp:posOffset>
            </wp:positionV>
            <wp:extent cx="4827905" cy="319087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445135</wp:posOffset>
            </wp:positionH>
            <wp:positionV relativeFrom="paragraph">
              <wp:posOffset>3175</wp:posOffset>
            </wp:positionV>
            <wp:extent cx="5438140" cy="382524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540385</wp:posOffset>
            </wp:positionH>
            <wp:positionV relativeFrom="paragraph">
              <wp:posOffset>-6985</wp:posOffset>
            </wp:positionV>
            <wp:extent cx="5580380" cy="376682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/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7. Построить амплитудно-фазовую характеристику (частотный годограф Найквиста) (nyquist).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-219710</wp:posOffset>
            </wp:positionH>
            <wp:positionV relativeFrom="paragraph">
              <wp:posOffset>86360</wp:posOffset>
            </wp:positionV>
            <wp:extent cx="3928110" cy="2962275"/>
            <wp:effectExtent l="0" t="0" r="0" b="0"/>
            <wp:wrapSquare wrapText="largest"/>
            <wp:docPr id="14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3175000</wp:posOffset>
            </wp:positionH>
            <wp:positionV relativeFrom="paragraph">
              <wp:posOffset>86360</wp:posOffset>
            </wp:positionV>
            <wp:extent cx="3928110" cy="2962275"/>
            <wp:effectExtent l="0" t="0" r="0" b="0"/>
            <wp:wrapSquare wrapText="largest"/>
            <wp:docPr id="15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-203200</wp:posOffset>
            </wp:positionH>
            <wp:positionV relativeFrom="paragraph">
              <wp:posOffset>204470</wp:posOffset>
            </wp:positionV>
            <wp:extent cx="3378200" cy="2547620"/>
            <wp:effectExtent l="0" t="0" r="0" b="0"/>
            <wp:wrapSquare wrapText="largest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Д</w:t>
      </w: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ля s1, s2,s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hd w:val="clear" w:fill="DDDDDD"/>
              <w:spacing w:before="0" w:after="0"/>
              <w:jc w:val="right"/>
              <w:rPr/>
            </w:pPr>
            <w:r>
              <w:rPr>
                <w:rFonts w:ascii="DejaVu Sans Mono" w:hAnsi="DejaVu Sans Mono"/>
                <w:b/>
                <w:bCs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nyquist(S1);</w:t>
            </w:r>
          </w:p>
          <w:p>
            <w:pPr>
              <w:pStyle w:val="Normal"/>
              <w:shd w:val="clear" w:fill="DDDDDD"/>
              <w:spacing w:before="0" w:after="0"/>
              <w:jc w:val="right"/>
              <w:rPr/>
            </w:pPr>
            <w:r>
              <w:rPr>
                <w:rFonts w:ascii="DejaVu Sans Mono" w:hAnsi="DejaVu Sans Mono"/>
                <w:b/>
                <w:bCs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nyquist(S2);</w:t>
            </w:r>
          </w:p>
          <w:p>
            <w:pPr>
              <w:pStyle w:val="Normal"/>
              <w:shd w:val="clear" w:fill="DDDDDD"/>
              <w:spacing w:before="0" w:after="0"/>
              <w:jc w:val="right"/>
              <w:rPr/>
            </w:pPr>
            <w:r>
              <w:rPr>
                <w:rFonts w:ascii="DejaVu Sans Mono" w:hAnsi="DejaVu Sans Mono"/>
                <w:b/>
                <w:bCs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--&gt; nyquist(S);</w:t>
            </w:r>
          </w:p>
        </w:tc>
      </w:tr>
    </w:tbl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/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 xml:space="preserve">8. </w:t>
      </w:r>
      <w:bookmarkStart w:id="2" w:name="__DdeLink__322_2615056274"/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Построить АЧХ и ФЧХ (repfreq, dbphi).</w:t>
      </w:r>
    </w:p>
    <w:p>
      <w:pPr>
        <w:pStyle w:val="Normal"/>
        <w:rPr/>
      </w:pPr>
      <w:r>
        <w:rPr>
          <w:rFonts w:asciiTheme="majorHAnsi" w:hAnsiTheme="majorHAnsi"/>
          <w:sz w:val="24"/>
          <w:szCs w:val="24"/>
          <w:lang w:val="en-US"/>
        </w:rPr>
        <w:t xml:space="preserve">I </w:t>
      </w:r>
      <w:r>
        <w:rPr>
          <w:rFonts w:asciiTheme="majorHAnsi" w:hAnsiTheme="majorHAnsi"/>
          <w:sz w:val="24"/>
          <w:szCs w:val="24"/>
        </w:rPr>
        <w:t>система</w:t>
      </w:r>
    </w:p>
    <w:p>
      <w:pPr>
        <w:pStyle w:val="Normal"/>
        <w:rPr/>
      </w:pPr>
      <w:r>
        <w:rPr>
          <w:rFonts w:asciiTheme="majorHAnsi" w:hAnsiTheme="majorHAnsi"/>
          <w:sz w:val="28"/>
          <w:szCs w:val="24"/>
        </w:rPr>
        <w:t>АЧХ</w:t>
      </w:r>
    </w:p>
    <w:p>
      <w:pPr>
        <w:pStyle w:val="Normal"/>
        <w:rPr/>
      </w:pPr>
      <w:r>
        <w:rPr/>
        <w:drawing>
          <wp:inline distT="0" distB="0" distL="0" distR="0">
            <wp:extent cx="4762500" cy="3557905"/>
            <wp:effectExtent l="0" t="0" r="0" b="0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Theme="majorHAnsi" w:hAnsiTheme="majorHAnsi"/>
          <w:sz w:val="28"/>
          <w:szCs w:val="24"/>
        </w:rPr>
        <w:t>ФЧХ</w:t>
      </w:r>
    </w:p>
    <w:p>
      <w:pPr>
        <w:pStyle w:val="Normal"/>
        <w:rPr/>
      </w:pPr>
      <w:r>
        <w:rPr/>
        <w:drawing>
          <wp:inline distT="0" distB="0" distL="0" distR="0">
            <wp:extent cx="4739640" cy="3513455"/>
            <wp:effectExtent l="0" t="0" r="0" b="0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</w:r>
    </w:p>
    <w:p>
      <w:pPr>
        <w:pStyle w:val="Normal"/>
        <w:rPr/>
      </w:pPr>
      <w:r>
        <w:rPr>
          <w:rFonts w:asciiTheme="majorHAnsi" w:hAnsiTheme="majorHAnsi"/>
          <w:sz w:val="24"/>
          <w:szCs w:val="24"/>
          <w:lang w:val="en-US"/>
        </w:rPr>
        <w:t>II</w:t>
      </w:r>
      <w:r>
        <w:rPr>
          <w:rFonts w:asciiTheme="majorHAnsi" w:hAnsiTheme="majorHAnsi"/>
          <w:sz w:val="24"/>
          <w:szCs w:val="24"/>
        </w:rPr>
        <w:t xml:space="preserve"> система</w:t>
      </w:r>
    </w:p>
    <w:p>
      <w:pPr>
        <w:pStyle w:val="Normal"/>
        <w:rPr/>
      </w:pPr>
      <w:r>
        <w:rPr>
          <w:rFonts w:asciiTheme="majorHAnsi" w:hAnsiTheme="majorHAnsi"/>
          <w:sz w:val="28"/>
          <w:szCs w:val="24"/>
        </w:rPr>
        <w:t>АЧХ</w:t>
      </w:r>
    </w:p>
    <w:p>
      <w:pPr>
        <w:pStyle w:val="Normal"/>
        <w:rPr/>
      </w:pPr>
      <w:r>
        <w:rPr/>
        <w:drawing>
          <wp:inline distT="0" distB="0" distL="0" distR="0">
            <wp:extent cx="4672965" cy="3524250"/>
            <wp:effectExtent l="0" t="0" r="0" b="0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>ФЧХ</w:t>
      </w:r>
    </w:p>
    <w:p>
      <w:pPr>
        <w:pStyle w:val="Normal"/>
        <w:rPr/>
      </w:pPr>
      <w:r>
        <w:rPr/>
        <w:drawing>
          <wp:inline distT="0" distB="0" distL="0" distR="0">
            <wp:extent cx="4695190" cy="3524250"/>
            <wp:effectExtent l="0" t="0" r="0" b="0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9. Для W(s) определить вид установившегося выходного сигнала при подаче на вход сигнала x1 t=2 sin10t . Представить оба сигнала на одном графике (repfreq, dbphi).</w:t>
      </w:r>
    </w:p>
    <w:p>
      <w:pPr>
        <w:pStyle w:val="Normal"/>
        <w:rPr/>
      </w:pPr>
      <w:r>
        <w:rPr>
          <w:rFonts w:asciiTheme="majorHAnsi" w:hAnsiTheme="majorHAnsi"/>
          <w:sz w:val="28"/>
          <w:szCs w:val="28"/>
          <w:highlight w:val="red"/>
        </w:rPr>
        <w:t>???</w:t>
      </w:r>
    </w:p>
    <w:p>
      <w:pPr>
        <w:pStyle w:val="Normal"/>
        <w:rPr/>
      </w:pPr>
      <w:bookmarkStart w:id="3" w:name="_GoBack1"/>
      <w:bookmarkEnd w:id="3"/>
      <w:r>
        <w:rPr/>
        <w:t>--&gt; plot(csim("2*sin(10*t)",0:0.1:20,S))</w:t>
      </w:r>
    </w:p>
    <w:p>
      <w:pPr>
        <w:pStyle w:val="Normal"/>
        <w:rPr/>
      </w:pPr>
      <w:r>
        <w:rPr/>
        <w:t>на строке    80 функции csim ( /usr/share/scilab/modules/cacsd/macros/csim.sci строка 91 )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csim: Неверное значение входного параметра №1: должно быть из множества {"step","impuls"}.</w:t>
      </w:r>
    </w:p>
    <w:p>
      <w:pPr>
        <w:pStyle w:val="Normal"/>
        <w:rPr/>
      </w:pPr>
      <w:r>
        <w:rPr/>
        <w:t>--&gt; plot(csim(2*sin(10*t),0:0.1:20,S))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Неопределённая переменная: 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--&gt; plot(csim(2*sin(10*5),0:0.1:20,S))</w:t>
      </w:r>
    </w:p>
    <w:p>
      <w:pPr>
        <w:pStyle w:val="Normal"/>
        <w:rPr/>
      </w:pPr>
      <w:r>
        <w:rPr/>
        <w:t>на строке    87 функции csim ( /usr/share/scilab/modules/cacsd/macros/csim.sci строка 98 )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csim: Несовместимые входные параметры №1 и №2: ожидалось одинаковое количество столбцов.</w:t>
      </w:r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>10. Проверить устойчивость САУ с помощью критерия Гурвица (</w:t>
      </w:r>
      <w:r>
        <w:rPr>
          <w:rFonts w:asciiTheme="majorHAnsi" w:hAnsiTheme="majorHAnsi"/>
          <w:sz w:val="28"/>
          <w:szCs w:val="28"/>
          <w:lang w:val="en-US"/>
        </w:rPr>
        <w:t>det</w:t>
      </w:r>
      <w:r>
        <w:rPr>
          <w:rFonts w:asciiTheme="majorHAnsi" w:hAnsiTheme="majorHAnsi"/>
          <w:sz w:val="28"/>
          <w:szCs w:val="28"/>
        </w:rPr>
        <w:t>).</w:t>
      </w:r>
    </w:p>
    <w:p>
      <w:pPr>
        <w:pStyle w:val="Normal"/>
        <w:rPr/>
      </w:pPr>
      <w:r>
        <w:rPr>
          <w:rFonts w:asciiTheme="majorHAnsi" w:hAnsiTheme="majorHAnsi"/>
          <w:i/>
          <w:sz w:val="28"/>
          <w:szCs w:val="28"/>
        </w:rPr>
        <w:t>Необходимое условие: все коэффициенты характеристического уравнения должны быть одного знака.</w:t>
      </w:r>
    </w:p>
    <w:p>
      <w:pPr>
        <w:pStyle w:val="Normal"/>
        <w:rPr/>
      </w:pPr>
      <w:r>
        <w:rPr>
          <w:rFonts w:asciiTheme="majorHAnsi" w:hAnsiTheme="majorHAnsi"/>
          <w:i/>
          <w:sz w:val="28"/>
          <w:szCs w:val="28"/>
        </w:rPr>
        <w:t>Достаточное условие: если в характеристическом уравнении есть знак минус – система является неустойчивой.</w:t>
      </w:r>
    </w:p>
    <w:p>
      <w:pPr>
        <w:pStyle w:val="Normal"/>
        <w:rPr/>
      </w:pPr>
      <w:r>
        <w:rPr>
          <w:rFonts w:asciiTheme="majorHAnsi" w:hAnsiTheme="majorHAnsi"/>
          <w:sz w:val="24"/>
          <w:szCs w:val="28"/>
          <w:lang w:val="en-US"/>
        </w:rPr>
        <w:t>I</w:t>
      </w:r>
      <w:r>
        <w:rPr>
          <w:rFonts w:asciiTheme="majorHAnsi" w:hAnsiTheme="majorHAnsi"/>
          <w:sz w:val="24"/>
          <w:szCs w:val="28"/>
        </w:rPr>
        <w:t xml:space="preserve"> система</w:t>
      </w:r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 xml:space="preserve">Характеристическое уравнение: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>Необходимое условие устойчивости становится достаточным для уравнений первой степени, т.к.: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eastAsia="" w:asciiTheme="majorHAnsi" w:eastAsiaTheme="minorEastAsia" w:hAnsiTheme="majorHAnsi"/>
          <w:i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 xml:space="preserve">Условие устойчивости выполняется, следовательно, по критерию Гурвица разомкнутая система </w:t>
      </w:r>
      <w:r>
        <w:rPr>
          <w:rFonts w:eastAsia="" w:asciiTheme="majorHAnsi" w:eastAsiaTheme="minorEastAsia" w:hAnsiTheme="majorHAnsi"/>
          <w:b/>
          <w:sz w:val="28"/>
          <w:szCs w:val="28"/>
        </w:rPr>
        <w:t>устойчива</w:t>
      </w:r>
      <w:r>
        <w:rPr>
          <w:rFonts w:eastAsia="" w:asciiTheme="majorHAnsi" w:eastAsiaTheme="minorEastAsia" w:hAnsiTheme="majorHAnsi"/>
          <w:sz w:val="28"/>
          <w:szCs w:val="28"/>
        </w:rPr>
        <w:t>.</w:t>
      </w:r>
    </w:p>
    <w:p>
      <w:pPr>
        <w:pStyle w:val="Normal"/>
        <w:rPr/>
      </w:pPr>
      <w:r>
        <w:rPr>
          <w:rFonts w:eastAsia="" w:asciiTheme="majorHAnsi" w:eastAsiaTheme="minorEastAsia" w:hAnsiTheme="majorHAnsi"/>
          <w:sz w:val="24"/>
          <w:szCs w:val="28"/>
          <w:lang w:val="en-US"/>
        </w:rPr>
        <w:t>II</w:t>
      </w:r>
      <w:r>
        <w:rPr>
          <w:rFonts w:eastAsia="" w:asciiTheme="majorHAnsi" w:eastAsiaTheme="minorEastAsia" w:hAnsiTheme="majorHAnsi"/>
          <w:sz w:val="24"/>
          <w:szCs w:val="28"/>
        </w:rPr>
        <w:t xml:space="preserve"> система </w:t>
      </w:r>
    </w:p>
    <w:p>
      <w:pPr>
        <w:pStyle w:val="Normal"/>
        <w:rPr/>
      </w:pPr>
      <w:r>
        <w:rPr>
          <w:rFonts w:eastAsia="" w:asciiTheme="majorHAnsi" w:eastAsiaTheme="minorEastAsia" w:hAnsiTheme="majorHAnsi"/>
          <w:sz w:val="24"/>
          <w:szCs w:val="28"/>
          <w:highlight w:val="yellow"/>
          <w:lang w:val="en-US"/>
        </w:rPr>
        <w:t>v</w:t>
      </w:r>
      <w:r>
        <w:rPr>
          <w:rFonts w:eastAsia="" w:asciiTheme="majorHAnsi" w:eastAsiaTheme="minorEastAsia" w:hAnsiTheme="majorHAnsi"/>
          <w:sz w:val="24"/>
          <w:szCs w:val="28"/>
          <w:highlight w:val="yellow"/>
        </w:rPr>
        <w:t xml:space="preserve"> Тут немного сумбурно, подумаю, что подсократить</w:t>
      </w:r>
      <w:r>
        <w:rPr>
          <w:rFonts w:eastAsia="" w:asciiTheme="majorHAnsi" w:eastAsiaTheme="minorEastAsia" w:hAnsiTheme="majorHAnsi"/>
          <w:sz w:val="24"/>
          <w:szCs w:val="28"/>
        </w:rPr>
        <w:t xml:space="preserve"> </w:t>
      </w:r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 xml:space="preserve">Характеристическое уравнение: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>Как и для уравнений первой степени, необходимое условие устойчивости становится достаточным для уравнений второй степени, т.к.: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±</m:t>
            </m:r>
            <m:rad>
              <m:radPr>
                <m:degHide m:val="1"/>
              </m:radPr>
              <m:deg/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∙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т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е</m:t>
        </m:r>
        <m:r>
          <w:rPr>
            <w:rFonts w:ascii="Cambria Math" w:hAnsi="Cambria Math"/>
          </w:rPr>
          <m:t xml:space="preserve">.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rFonts w:eastAsia="" w:asciiTheme="majorHAnsi" w:eastAsiaTheme="minorEastAsia" w:hAnsiTheme="majorHAnsi"/>
          <w:sz w:val="28"/>
          <w:szCs w:val="28"/>
        </w:rPr>
        <w:t xml:space="preserve">Проверим последний диагональный минор системы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" w:asciiTheme="majorHAnsi" w:eastAsiaTheme="minorEastAsia" w:hAnsiTheme="majorHAnsi"/>
          <w:sz w:val="28"/>
          <w:szCs w:val="28"/>
        </w:rPr>
        <w:t xml:space="preserve"> на знак. </w:t>
      </w:r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>--&gt; det([1 0; 5 0])</w:t>
      </w:r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ans  =</w:t>
      </w:r>
    </w:p>
    <w:p>
      <w:pPr>
        <w:pStyle w:val="Normal"/>
        <w:rPr/>
      </w:pPr>
      <w:r>
        <w:rPr>
          <w:rFonts w:asciiTheme="majorHAnsi" w:hAnsiTheme="majorHAnsi"/>
          <w:sz w:val="28"/>
          <w:szCs w:val="28"/>
        </w:rPr>
        <w:t xml:space="preserve">   </w:t>
      </w:r>
      <w:r>
        <w:rPr>
          <w:rFonts w:asciiTheme="majorHAnsi" w:hAnsiTheme="majorHAnsi"/>
          <w:sz w:val="28"/>
          <w:szCs w:val="28"/>
        </w:rPr>
        <w:t>0.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2"/>
          <w:sz w:val="28"/>
          <w:szCs w:val="28"/>
          <w:highlight w:val="white"/>
          <w:vertAlign w:val="baseline"/>
          <w:lang w:val="ru-RU"/>
        </w:rPr>
      </w:pPr>
      <w:r>
        <w:rPr>
          <w:rFonts w:asciiTheme="majorHAnsi" w:hAnsiTheme="majorHAnsi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 xml:space="preserve">Т.к.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" w:asciiTheme="majorHAnsi" w:eastAsiaTheme="minorEastAsia" w:hAnsiTheme="majorHAnsi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 xml:space="preserve">= 0 и все предыдущие определители Гурвица положительны, то можно сделать вывод, что разомкнутая система находится на границе устойчивости. 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  <w:bookmarkEnd w:id="2"/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869815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416685"/>
            <wp:effectExtent l="0" t="0" r="0" b="0"/>
            <wp:wrapSquare wrapText="largest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qFormat/>
    <w:p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Normal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2">
    <w:name w:val="Интернет-ссылка"/>
    <w:basedOn w:val="DefaultParagraphFont"/>
    <w:rPr>
      <w:color w:val="0000FF"/>
      <w:u w:val="single"/>
    </w:rPr>
  </w:style>
  <w:style w:type="character" w:styleId="WW8Num10z0">
    <w:name w:val="WW8Num10z0"/>
    <w:qFormat/>
    <w:rPr>
      <w:rFonts w:ascii="Symbol" w:hAnsi="Symbol" w:cs="Symbol"/>
      <w:sz w:val="22"/>
      <w:szCs w:val="22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Style14">
    <w:name w:val="Выделение"/>
    <w:basedOn w:val="Style13"/>
    <w:qFormat/>
    <w:rPr>
      <w:i/>
      <w:iCs/>
    </w:rPr>
  </w:style>
  <w:style w:type="character" w:styleId="Style15">
    <w:name w:val="Выделение жирным"/>
    <w:basedOn w:val="Style13"/>
    <w:qFormat/>
    <w:rPr>
      <w:b/>
      <w:bCs/>
    </w:rPr>
  </w:style>
  <w:style w:type="character" w:styleId="WW8Num31z0">
    <w:name w:val="WW8Num31z0"/>
    <w:qFormat/>
    <w:rPr/>
  </w:style>
  <w:style w:type="character" w:styleId="WW8Num31z1">
    <w:name w:val="WW8Num31z1"/>
    <w:qFormat/>
    <w:rPr>
      <w:b/>
      <w:sz w:val="22"/>
      <w:szCs w:val="22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Обычный (веб)"/>
    <w:basedOn w:val="Normal"/>
    <w:qFormat/>
    <w:pPr>
      <w:spacing w:before="280" w:after="280"/>
    </w:pPr>
    <w:rPr/>
  </w:style>
  <w:style w:type="paragraph" w:styleId="Rsrt">
    <w:name w:val="r_srt"/>
    <w:basedOn w:val="Normal"/>
    <w:qFormat/>
    <w:pPr>
      <w:spacing w:before="280" w:after="280"/>
    </w:pPr>
    <w:rPr/>
  </w:style>
  <w:style w:type="numbering" w:styleId="NoList">
    <w:name w:val="No List"/>
    <w:qFormat/>
  </w:style>
  <w:style w:type="numbering" w:styleId="WW8Num10">
    <w:name w:val="WW8Num1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jpeg"/><Relationship Id="rId18" Type="http://schemas.openxmlformats.org/officeDocument/2006/relationships/image" Target="media/image16.jpeg"/><Relationship Id="rId19" Type="http://schemas.openxmlformats.org/officeDocument/2006/relationships/image" Target="media/image17.jpe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Application>LibreOffice/6.2.6.2$Linux_X86_64 LibreOffice_project/20$Build-2</Application>
  <Pages>13</Pages>
  <Words>559</Words>
  <Characters>3677</Characters>
  <CharactersWithSpaces>4548</CharactersWithSpaces>
  <Paragraphs>127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2017-11-12T07:49:00Z</dcterms:created>
  <dc:creator>XTreme.ws</dc:creator>
  <dc:description/>
  <dc:language>ru-RU</dc:language>
  <cp:lastModifiedBy/>
  <dcterms:modified xsi:type="dcterms:W3CDTF">2019-12-06T14:15:12Z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