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16CEB" w:val="clear"/>
            <w:tcMar>
              <w:top w:type="dxa" w:w="600"/>
              <w:left w:type="dxa" w:w="480"/>
              <w:bottom w:type="dxa" w:w="600"/>
              <w:right w:type="dxa" w:w="480"/>
            </w:tcMar>
          </w:tcPr>
          <w:p>
            <w:pPr>
              <w:jc w:val="center"/>
            </w:pPr>
            <w:r>
              <w:rPr>
                <w:rFonts w:ascii="Arial" w:cs="Arial" w:eastAsia="Arial" w:hAnsi="Arial"/>
                <w:b/>
                <w:bCs/>
                <w:color w:val="FFFFFF"/>
                <w:sz w:val="72"/>
                <w:szCs w:val="72"/>
              </w:rPr>
              <w:t xml:space="preserve">POOLD</w:t>
            </w:r>
          </w:p>
          <w:p>
            <w:pPr>
              <w:spacing w:after="120" w:before="120"/>
              <w:jc w:val="center"/>
            </w:pPr>
            <w:r>
              <w:rPr>
                <w:rFonts w:ascii="Arial" w:cs="Arial" w:eastAsia="Arial" w:hAnsi="Arial"/>
                <w:b/>
                <w:bCs/>
                <w:color w:val="FFFFFF"/>
                <w:sz w:val="48"/>
                <w:szCs w:val="48"/>
              </w:rPr>
              <w:t xml:space="preserve">بول دي</w:t>
            </w:r>
          </w:p>
          <w:p>
            <w:pPr>
              <w:jc w:val="center"/>
            </w:pPr>
            <w:r>
              <w:rPr>
                <w:rFonts w:ascii="Arial" w:cs="Arial" w:eastAsia="Arial" w:hAnsi="Arial"/>
                <w:i/>
                <w:iCs/>
                <w:color w:val="BFDBFE"/>
                <w:sz w:val="28"/>
                <w:szCs w:val="28"/>
              </w:rPr>
              <w:t xml:space="preserve">GCC's Smart Carpooling Platform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1F5F9" w:val="clear"/>
            <w:tcMar>
              <w:top w:type="dxa" w:w="160"/>
              <w:left w:type="dxa" w:w="240"/>
              <w:bottom w:type="dxa" w:w="160"/>
              <w:right w:type="dxa" w:w="240"/>
            </w:tcMar>
          </w:tcPr>
          <w:p>
            <w:r>
              <w:rPr>
                <w:rFonts w:ascii="Arial" w:cs="Arial" w:eastAsia="Arial" w:hAnsi="Arial"/>
                <w:color w:val="64748B"/>
                <w:sz w:val="18"/>
                <w:szCs w:val="18"/>
              </w:rPr>
              <w:t xml:space="preserve">Document Type</w:t>
            </w:r>
          </w:p>
          <w:p>
            <w:r>
              <w:rPr>
                <w:rFonts w:ascii="Arial" w:cs="Arial" w:eastAsia="Arial" w:hAnsi="Arial"/>
                <w:b/>
                <w:bCs/>
                <w:color w:val="000719"/>
                <w:sz w:val="22"/>
                <w:szCs w:val="22"/>
              </w:rPr>
              <w:t xml:space="preserve">Product Vision &amp; Strategy</w:t>
            </w:r>
          </w:p>
        </w:tc>
        <w:tc>
          <w:tcPr>
            <w:tcW w:type="dxa" w:w="4680"/>
            <w:tcBorders>
              <w:top w:val="single" w:color="E2E8F0" w:sz="1"/>
              <w:left w:val="single" w:color="E2E8F0" w:sz="1"/>
              <w:bottom w:val="single" w:color="E2E8F0" w:sz="1"/>
              <w:right w:val="single" w:color="E2E8F0" w:sz="1"/>
            </w:tcBorders>
            <w:shd w:fill="F1F5F9" w:val="clear"/>
            <w:tcMar>
              <w:top w:type="dxa" w:w="160"/>
              <w:left w:type="dxa" w:w="240"/>
              <w:bottom w:type="dxa" w:w="160"/>
              <w:right w:type="dxa" w:w="240"/>
            </w:tcMar>
          </w:tcPr>
          <w:p>
            <w:r>
              <w:rPr>
                <w:rFonts w:ascii="Arial" w:cs="Arial" w:eastAsia="Arial" w:hAnsi="Arial"/>
                <w:color w:val="64748B"/>
                <w:sz w:val="18"/>
                <w:szCs w:val="18"/>
              </w:rPr>
              <w:t xml:space="preserve">Version</w:t>
            </w:r>
          </w:p>
          <w:p>
            <w:r>
              <w:rPr>
                <w:rFonts w:ascii="Arial" w:cs="Arial" w:eastAsia="Arial" w:hAnsi="Arial"/>
                <w:b/>
                <w:bCs/>
                <w:color w:val="000719"/>
                <w:sz w:val="22"/>
                <w:szCs w:val="22"/>
              </w:rPr>
              <w:t xml:space="preserve">1.0  —  June 2025</w:t>
            </w:r>
          </w:p>
        </w:tc>
      </w:tr>
      <w:tr>
        <w:tc>
          <w:tcPr>
            <w:tcW w:type="dxa" w:w="4680"/>
            <w:tcBorders>
              <w:top w:val="single" w:color="E2E8F0" w:sz="1"/>
              <w:left w:val="single" w:color="E2E8F0" w:sz="1"/>
              <w:bottom w:val="single" w:color="E2E8F0" w:sz="1"/>
              <w:right w:val="single" w:color="E2E8F0" w:sz="1"/>
            </w:tcBorders>
            <w:shd w:fill="F1F5F9" w:val="clear"/>
            <w:tcMar>
              <w:top w:type="dxa" w:w="160"/>
              <w:left w:type="dxa" w:w="240"/>
              <w:bottom w:type="dxa" w:w="160"/>
              <w:right w:type="dxa" w:w="240"/>
            </w:tcMar>
          </w:tcPr>
          <w:p>
            <w:r>
              <w:rPr>
                <w:rFonts w:ascii="Arial" w:cs="Arial" w:eastAsia="Arial" w:hAnsi="Arial"/>
                <w:color w:val="64748B"/>
                <w:sz w:val="18"/>
                <w:szCs w:val="18"/>
              </w:rPr>
              <w:t xml:space="preserve">Market Focus</w:t>
            </w:r>
          </w:p>
          <w:p>
            <w:r>
              <w:rPr>
                <w:rFonts w:ascii="Arial" w:cs="Arial" w:eastAsia="Arial" w:hAnsi="Arial"/>
                <w:b/>
                <w:bCs/>
                <w:color w:val="000719"/>
                <w:sz w:val="22"/>
                <w:szCs w:val="22"/>
              </w:rPr>
              <w:t xml:space="preserve">UAE (Phase 1) → GCC (Phase 2)</w:t>
            </w:r>
          </w:p>
        </w:tc>
        <w:tc>
          <w:tcPr>
            <w:tcW w:type="dxa" w:w="4680"/>
            <w:tcBorders>
              <w:top w:val="single" w:color="E2E8F0" w:sz="1"/>
              <w:left w:val="single" w:color="E2E8F0" w:sz="1"/>
              <w:bottom w:val="single" w:color="E2E8F0" w:sz="1"/>
              <w:right w:val="single" w:color="E2E8F0" w:sz="1"/>
            </w:tcBorders>
            <w:shd w:fill="F1F5F9" w:val="clear"/>
            <w:tcMar>
              <w:top w:type="dxa" w:w="160"/>
              <w:left w:type="dxa" w:w="240"/>
              <w:bottom w:type="dxa" w:w="160"/>
              <w:right w:type="dxa" w:w="240"/>
            </w:tcMar>
          </w:tcPr>
          <w:p>
            <w:r>
              <w:rPr>
                <w:rFonts w:ascii="Arial" w:cs="Arial" w:eastAsia="Arial" w:hAnsi="Arial"/>
                <w:color w:val="64748B"/>
                <w:sz w:val="18"/>
                <w:szCs w:val="18"/>
              </w:rPr>
              <w:t xml:space="preserve">Classification</w:t>
            </w:r>
          </w:p>
          <w:p>
            <w:r>
              <w:rPr>
                <w:rFonts w:ascii="Arial" w:cs="Arial" w:eastAsia="Arial" w:hAnsi="Arial"/>
                <w:b/>
                <w:bCs/>
                <w:color w:val="DC2626"/>
                <w:sz w:val="22"/>
                <w:szCs w:val="22"/>
              </w:rPr>
              <w:t xml:space="preserve">Confidential</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1. Executive Summary</w:t>
      </w:r>
    </w:p>
    <w:p>
      <w:pPr>
        <w:spacing w:after="80" w:before="80"/>
      </w:pPr>
      <w:r>
        <w:rPr>
          <w:rFonts w:ascii="Arial" w:cs="Arial" w:eastAsia="Arial" w:hAnsi="Arial"/>
          <w:color w:val="000719"/>
          <w:sz w:val="22"/>
          <w:szCs w:val="22"/>
        </w:rPr>
        <w:t xml:space="preserve">PoolD is a next-generation carpooling platform purpose-built for the UAE and GCC markets. At its core, PoolD connects drivers and riders travelling the same route — reducing traffic congestion, cutting commute costs, and contributing directly to the UAE's Net Zero 2050 sustainability agenda.</w:t>
      </w:r>
    </w:p>
    <w:p>
      <w:pPr>
        <w:spacing w:after="120" w:before="0"/>
      </w:pPr>
      <w:r>
        <w:t xml:space="preserve"/>
      </w:r>
    </w:p>
    <w:p>
      <w:pPr>
        <w:spacing w:after="80" w:before="80"/>
      </w:pPr>
      <w:r>
        <w:rPr>
          <w:rFonts w:ascii="Arial" w:cs="Arial" w:eastAsia="Arial" w:hAnsi="Arial"/>
          <w:color w:val="000719"/>
          <w:sz w:val="22"/>
          <w:szCs w:val="22"/>
        </w:rPr>
        <w:t xml:space="preserve">Unlike generic ride-hailing apps, PoolD is designed around the unique cultural, regulatory, and infrastructure realities of the Gulf. From Arabic-first UI to RTA compliance and multi-currency GCC expansion, every layer of the product is built to operate natively in the region.</w:t>
      </w:r>
    </w:p>
    <w:p>
      <w:pPr>
        <w:spacing w:after="120" w:before="0"/>
      </w:pPr>
      <w:r>
        <w:t xml:space="preserve"/>
      </w:r>
    </w:p>
    <w:p>
      <w:pPr>
        <w:spacing w:after="80" w:before="80"/>
      </w:pPr>
      <w:r>
        <w:rPr>
          <w:rFonts w:ascii="Arial" w:cs="Arial" w:eastAsia="Arial" w:hAnsi="Arial"/>
          <w:color w:val="000719"/>
          <w:sz w:val="22"/>
          <w:szCs w:val="22"/>
        </w:rPr>
        <w:t xml:space="preserve">The initial go-to-market strategy is consumer-first: acquire individual commuters in the UAE, prove the model, then layer in an enterprise module that organisations such as Emirates, DEWA, and government entities can adopt. This dual-track positions PoolD as both a consumer brand and an enterprise SaaS product — highly attractive to strategic acquirers including Careem, RTA, and regional super-app operators.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160"/>
            <w:tcBorders>
              <w:top w:val="none" w:color="FFFFFF" w:sz="0"/>
              <w:left w:val="none" w:color="FFFFFF" w:sz="0"/>
              <w:bottom w:val="none" w:color="FFFFFF" w:sz="0"/>
              <w:right w:val="none" w:color="FFFFFF" w:sz="0"/>
            </w:tcBorders>
            <w:shd w:fill="016CEB"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3.5M+</w:t>
            </w:r>
          </w:p>
          <w:p>
            <w:pPr>
              <w:jc w:val="center"/>
            </w:pPr>
            <w:r>
              <w:rPr>
                <w:rFonts w:ascii="Arial" w:cs="Arial" w:eastAsia="Arial" w:hAnsi="Arial"/>
                <w:color w:val="FFFFFF"/>
                <w:sz w:val="18"/>
                <w:szCs w:val="18"/>
              </w:rPr>
              <w:t xml:space="preserve">UAE Commuters</w:t>
            </w:r>
          </w:p>
        </w:tc>
        <w:tc>
          <w:tcPr>
            <w:tcW w:type="dxa" w:w="2160"/>
            <w:tcBorders>
              <w:top w:val="none" w:color="FFFFFF" w:sz="0"/>
              <w:left w:val="none" w:color="FFFFFF" w:sz="0"/>
              <w:bottom w:val="none" w:color="FFFFFF" w:sz="0"/>
              <w:right w:val="none" w:color="FFFFFF" w:sz="0"/>
            </w:tcBorders>
            <w:shd w:fill="04D6BF"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AED 800</w:t>
            </w:r>
          </w:p>
          <w:p>
            <w:pPr>
              <w:jc w:val="center"/>
            </w:pPr>
            <w:r>
              <w:rPr>
                <w:rFonts w:ascii="Arial" w:cs="Arial" w:eastAsia="Arial" w:hAnsi="Arial"/>
                <w:color w:val="FFFFFF"/>
                <w:sz w:val="18"/>
                <w:szCs w:val="18"/>
              </w:rPr>
              <w:t xml:space="preserve">Avg. Commute Cost/Mo</w:t>
            </w:r>
          </w:p>
        </w:tc>
        <w:tc>
          <w:tcPr>
            <w:tcW w:type="dxa" w:w="2160"/>
            <w:tcBorders>
              <w:top w:val="none" w:color="FFFFFF" w:sz="0"/>
              <w:left w:val="none" w:color="FFFFFF" w:sz="0"/>
              <w:bottom w:val="none" w:color="FFFFFF" w:sz="0"/>
              <w:right w:val="none" w:color="FFFFFF" w:sz="0"/>
            </w:tcBorders>
            <w:shd w:fill="7C3AED"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$2.4B</w:t>
            </w:r>
          </w:p>
          <w:p>
            <w:pPr>
              <w:jc w:val="center"/>
            </w:pPr>
            <w:r>
              <w:rPr>
                <w:rFonts w:ascii="Arial" w:cs="Arial" w:eastAsia="Arial" w:hAnsi="Arial"/>
                <w:color w:val="FFFFFF"/>
                <w:sz w:val="18"/>
                <w:szCs w:val="18"/>
              </w:rPr>
              <w:t xml:space="preserve">GCC Addressable Market</w:t>
            </w:r>
          </w:p>
        </w:tc>
        <w:tc>
          <w:tcPr>
            <w:tcW w:type="dxa" w:w="2160"/>
            <w:tcBorders>
              <w:top w:val="none" w:color="FFFFFF" w:sz="0"/>
              <w:left w:val="none" w:color="FFFFFF" w:sz="0"/>
              <w:bottom w:val="none" w:color="FFFFFF" w:sz="0"/>
              <w:right w:val="none" w:color="FFFFFF" w:sz="0"/>
            </w:tcBorders>
            <w:shd w:fill="F59E0B"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2026</w:t>
            </w:r>
          </w:p>
          <w:p>
            <w:pPr>
              <w:jc w:val="center"/>
            </w:pPr>
            <w:r>
              <w:rPr>
                <w:rFonts w:ascii="Arial" w:cs="Arial" w:eastAsia="Arial" w:hAnsi="Arial"/>
                <w:color w:val="FFFFFF"/>
                <w:sz w:val="18"/>
                <w:szCs w:val="18"/>
              </w:rPr>
              <w:t xml:space="preserve">Target Acquisition</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2. The Problem</w:t>
      </w:r>
    </w:p>
    <w:p>
      <w:pPr>
        <w:pStyle w:val="Heading2"/>
        <w:spacing w:after="160" w:before="300"/>
      </w:pPr>
      <w:r>
        <w:rPr>
          <w:rFonts w:ascii="Arial" w:cs="Arial" w:eastAsia="Arial" w:hAnsi="Arial"/>
          <w:b/>
          <w:bCs/>
          <w:color w:val="016CEB"/>
          <w:sz w:val="26"/>
          <w:szCs w:val="26"/>
        </w:rPr>
        <w:t xml:space="preserve">2.1  Traffic &amp; Congestion</w:t>
      </w:r>
    </w:p>
    <w:p>
      <w:pPr>
        <w:spacing w:after="80" w:before="80"/>
      </w:pPr>
      <w:r>
        <w:rPr>
          <w:rFonts w:ascii="Arial" w:cs="Arial" w:eastAsia="Arial" w:hAnsi="Arial"/>
          <w:color w:val="000719"/>
          <w:sz w:val="22"/>
          <w:szCs w:val="22"/>
        </w:rPr>
        <w:t xml:space="preserve">Dubai consistently ranks among the world's most congested cities. The UAE has over 3.5 million registered vehicles for a population of approximately 10 million. Morning rush hours on Sheikh Zayed Road and Emirates Road result in productivity losses estimated at AED 4.7 billion annually.</w:t>
      </w:r>
    </w:p>
    <w:p>
      <w:pPr>
        <w:spacing w:after="120" w:before="0"/>
      </w:pPr>
      <w:r>
        <w:t xml:space="preserve"/>
      </w:r>
    </w:p>
    <w:p>
      <w:pPr>
        <w:pStyle w:val="Heading2"/>
        <w:spacing w:after="160" w:before="300"/>
      </w:pPr>
      <w:r>
        <w:rPr>
          <w:rFonts w:ascii="Arial" w:cs="Arial" w:eastAsia="Arial" w:hAnsi="Arial"/>
          <w:b/>
          <w:bCs/>
          <w:color w:val="016CEB"/>
          <w:sz w:val="26"/>
          <w:szCs w:val="26"/>
        </w:rPr>
        <w:t xml:space="preserve">2.2  High Cost of Commuting</w:t>
      </w:r>
    </w:p>
    <w:p>
      <w:pPr>
        <w:spacing w:after="80" w:before="80"/>
      </w:pPr>
      <w:r>
        <w:rPr>
          <w:rFonts w:ascii="Arial" w:cs="Arial" w:eastAsia="Arial" w:hAnsi="Arial"/>
          <w:color w:val="000719"/>
          <w:sz w:val="22"/>
          <w:szCs w:val="22"/>
        </w:rPr>
        <w:t xml:space="preserve">With petrol prices, parking fees, Salik tolls, and vehicle depreciation, the average UAE resident spends between AED 700–1,200 per month on daily commuting. This is a significant burden particularly for blue-collar workers, young professionals, and residents in outer areas such as Sharjah, Ajman, and Al Ain.</w:t>
      </w:r>
    </w:p>
    <w:p>
      <w:pPr>
        <w:spacing w:after="120" w:before="0"/>
      </w:pPr>
      <w:r>
        <w:t xml:space="preserve"/>
      </w:r>
    </w:p>
    <w:p>
      <w:pPr>
        <w:pStyle w:val="Heading2"/>
        <w:spacing w:after="160" w:before="300"/>
      </w:pPr>
      <w:r>
        <w:rPr>
          <w:rFonts w:ascii="Arial" w:cs="Arial" w:eastAsia="Arial" w:hAnsi="Arial"/>
          <w:b/>
          <w:bCs/>
          <w:color w:val="016CEB"/>
          <w:sz w:val="26"/>
          <w:szCs w:val="26"/>
        </w:rPr>
        <w:t xml:space="preserve">2.3  Underserved Market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00" w:before="200"/>
            </w:pPr>
            <w:r>
              <w:rPr>
                <w:rFonts w:ascii="Arial" w:cs="Arial" w:eastAsia="Arial" w:hAnsi="Arial"/>
                <w:b/>
                <w:bCs/>
                <w:color w:val="000719"/>
                <w:sz w:val="22"/>
                <w:szCs w:val="22"/>
              </w:rPr>
              <w:t xml:space="preserve">Existing Solutions Fall Short</w:t>
            </w:r>
          </w:p>
          <w:p>
            <w:pPr>
              <w:spacing w:after="80" w:before="80"/>
            </w:pPr>
            <w:r>
              <w:rPr>
                <w:rFonts w:ascii="Arial" w:cs="Arial" w:eastAsia="Arial" w:hAnsi="Arial"/>
                <w:color w:val="000719"/>
                <w:sz w:val="22"/>
                <w:szCs w:val="22"/>
              </w:rPr>
              <w:t xml:space="preserve">Careem / Uber — expensive, not designed for daily commuting</w:t>
            </w:r>
          </w:p>
          <w:p>
            <w:pPr>
              <w:spacing w:after="80" w:before="80"/>
            </w:pPr>
            <w:r>
              <w:rPr>
                <w:rFonts w:ascii="Arial" w:cs="Arial" w:eastAsia="Arial" w:hAnsi="Arial"/>
                <w:color w:val="000719"/>
                <w:sz w:val="22"/>
                <w:szCs w:val="22"/>
              </w:rPr>
              <w:t xml:space="preserve">Public Transport — limited coverage, especially in newer areas</w:t>
            </w:r>
          </w:p>
          <w:p>
            <w:pPr>
              <w:spacing w:after="80" w:before="80"/>
            </w:pPr>
            <w:r>
              <w:rPr>
                <w:rFonts w:ascii="Arial" w:cs="Arial" w:eastAsia="Arial" w:hAnsi="Arial"/>
                <w:color w:val="000719"/>
                <w:sz w:val="22"/>
                <w:szCs w:val="22"/>
              </w:rPr>
              <w:t xml:space="preserve">BlaBlaCar — not localized, no UAE/GCC focus</w:t>
            </w:r>
          </w:p>
          <w:p>
            <w:pPr>
              <w:spacing w:after="80" w:before="80"/>
            </w:pPr>
            <w:r>
              <w:rPr>
                <w:rFonts w:ascii="Arial" w:cs="Arial" w:eastAsia="Arial" w:hAnsi="Arial"/>
                <w:color w:val="000719"/>
                <w:sz w:val="22"/>
                <w:szCs w:val="22"/>
              </w:rPr>
              <w:t xml:space="preserve">Informal WhatsApp groups — unstructured, unsafe, no accountability</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00" w:before="200"/>
            </w:pPr>
            <w:r>
              <w:rPr>
                <w:rFonts w:ascii="Arial" w:cs="Arial" w:eastAsia="Arial" w:hAnsi="Arial"/>
                <w:b/>
                <w:bCs/>
                <w:color w:val="000719"/>
                <w:sz w:val="22"/>
                <w:szCs w:val="22"/>
              </w:rPr>
              <w:t xml:space="preserve">What the Market Needs</w:t>
            </w:r>
          </w:p>
          <w:p>
            <w:pPr>
              <w:spacing w:after="80" w:before="80"/>
            </w:pPr>
            <w:r>
              <w:rPr>
                <w:rFonts w:ascii="Arial" w:cs="Arial" w:eastAsia="Arial" w:hAnsi="Arial"/>
                <w:color w:val="000719"/>
                <w:sz w:val="22"/>
                <w:szCs w:val="22"/>
              </w:rPr>
              <w:t xml:space="preserve">Affordable, reliable daily ride sharing</w:t>
            </w:r>
          </w:p>
          <w:p>
            <w:pPr>
              <w:spacing w:after="80" w:before="80"/>
            </w:pPr>
            <w:r>
              <w:rPr>
                <w:rFonts w:ascii="Arial" w:cs="Arial" w:eastAsia="Arial" w:hAnsi="Arial"/>
                <w:color w:val="000719"/>
                <w:sz w:val="22"/>
                <w:szCs w:val="22"/>
              </w:rPr>
              <w:t xml:space="preserve">Verified, trusted community of commuters</w:t>
            </w:r>
          </w:p>
          <w:p>
            <w:pPr>
              <w:spacing w:after="80" w:before="80"/>
            </w:pPr>
            <w:r>
              <w:rPr>
                <w:rFonts w:ascii="Arial" w:cs="Arial" w:eastAsia="Arial" w:hAnsi="Arial"/>
                <w:color w:val="000719"/>
                <w:sz w:val="22"/>
                <w:szCs w:val="22"/>
              </w:rPr>
              <w:t xml:space="preserve">Arabic + English interface</w:t>
            </w:r>
          </w:p>
          <w:p>
            <w:pPr>
              <w:spacing w:after="80" w:before="80"/>
            </w:pPr>
            <w:r>
              <w:rPr>
                <w:rFonts w:ascii="Arial" w:cs="Arial" w:eastAsia="Arial" w:hAnsi="Arial"/>
                <w:color w:val="000719"/>
                <w:sz w:val="22"/>
                <w:szCs w:val="22"/>
              </w:rPr>
              <w:t xml:space="preserve">UAE-specific routes and payment</w:t>
            </w:r>
          </w:p>
          <w:p>
            <w:pPr>
              <w:spacing w:after="80" w:before="80"/>
            </w:pPr>
            <w:r>
              <w:rPr>
                <w:rFonts w:ascii="Arial" w:cs="Arial" w:eastAsia="Arial" w:hAnsi="Arial"/>
                <w:color w:val="000719"/>
                <w:sz w:val="22"/>
                <w:szCs w:val="22"/>
              </w:rPr>
              <w:t xml:space="preserve">Gender-preference options (cultural fit)</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3. The Solution — PoolD</w:t>
      </w:r>
    </w:p>
    <w:p>
      <w:pPr>
        <w:spacing w:after="80" w:before="80"/>
      </w:pPr>
      <w:r>
        <w:rPr>
          <w:rFonts w:ascii="Arial" w:cs="Arial" w:eastAsia="Arial" w:hAnsi="Arial"/>
          <w:color w:val="000719"/>
          <w:sz w:val="22"/>
          <w:szCs w:val="22"/>
        </w:rPr>
        <w:t xml:space="preserve">PoolD solves the daily commute problem by creating a trusted, structured carpooling marketplace where drivers with empty seats connect with riders travelling the same route. Both parties save money, reduce emissions, and build community.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AF4F9"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Core Value Proposition</w:t>
            </w:r>
          </w:p>
          <w:p>
            <w:pPr>
              <w:spacing w:after="40" w:before="40"/>
            </w:pPr>
            <w:r>
              <w:rPr>
                <w:rFonts w:ascii="Arial" w:cs="Arial" w:eastAsia="Arial" w:hAnsi="Arial"/>
                <w:color w:val="000719"/>
                <w:sz w:val="20"/>
                <w:szCs w:val="20"/>
              </w:rPr>
              <w:t xml:space="preserve">• Drivers: Recover AED 300–600/month of fuel and running costs on trips they already make</w:t>
            </w:r>
          </w:p>
          <w:p>
            <w:pPr>
              <w:spacing w:after="40" w:before="40"/>
            </w:pPr>
            <w:r>
              <w:rPr>
                <w:rFonts w:ascii="Arial" w:cs="Arial" w:eastAsia="Arial" w:hAnsi="Arial"/>
                <w:color w:val="000719"/>
                <w:sz w:val="20"/>
                <w:szCs w:val="20"/>
              </w:rPr>
              <w:t xml:space="preserve">• Riders: Contribute far less than a ride-hailing fare, with recurring reliable commutes</w:t>
            </w:r>
          </w:p>
          <w:p>
            <w:pPr>
              <w:spacing w:after="40" w:before="40"/>
            </w:pPr>
            <w:r>
              <w:rPr>
                <w:rFonts w:ascii="Arial" w:cs="Arial" w:eastAsia="Arial" w:hAnsi="Arial"/>
                <w:color w:val="000719"/>
                <w:sz w:val="20"/>
                <w:szCs w:val="20"/>
              </w:rPr>
              <w:t xml:space="preserve">• Cities: Measurable reduction in single-occupancy vehicles on key corridors</w:t>
            </w:r>
          </w:p>
          <w:p>
            <w:pPr>
              <w:spacing w:after="40" w:before="40"/>
            </w:pPr>
            <w:r>
              <w:rPr>
                <w:rFonts w:ascii="Arial" w:cs="Arial" w:eastAsia="Arial" w:hAnsi="Arial"/>
                <w:color w:val="000719"/>
                <w:sz w:val="20"/>
                <w:szCs w:val="20"/>
              </w:rPr>
              <w:t xml:space="preserve">• Enterprises: Turn employee commuting into an organised, tracked, reportable benefit</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3.1  Key Features — Consumer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pStyle w:val="ListParagraph"/>
              <w:numPr>
                <w:ilvl w:val="0"/>
                <w:numId w:val="2"/>
              </w:numPr>
              <w:spacing w:after="60" w:before="60"/>
            </w:pPr>
            <w:r>
              <w:rPr>
                <w:rFonts w:ascii="Arial" w:cs="Arial" w:eastAsia="Arial" w:hAnsi="Arial"/>
                <w:b w:val="false"/>
                <w:bCs w:val="false"/>
                <w:color w:val="000719"/>
                <w:sz w:val="22"/>
                <w:szCs w:val="22"/>
              </w:rPr>
              <w:t xml:space="preserve">Phone OTP Authentication (+971 and all GCC codes)</w:t>
            </w:r>
          </w:p>
          <w:p>
            <w:pPr>
              <w:pStyle w:val="ListParagraph"/>
              <w:numPr>
                <w:ilvl w:val="0"/>
                <w:numId w:val="2"/>
              </w:numPr>
              <w:spacing w:after="60" w:before="60"/>
            </w:pPr>
            <w:r>
              <w:rPr>
                <w:rFonts w:ascii="Arial" w:cs="Arial" w:eastAsia="Arial" w:hAnsi="Arial"/>
                <w:b w:val="false"/>
                <w:bCs w:val="false"/>
                <w:color w:val="000719"/>
                <w:sz w:val="22"/>
                <w:szCs w:val="22"/>
              </w:rPr>
              <w:t xml:space="preserve">Driver &amp; Rider profile with verification</w:t>
            </w:r>
          </w:p>
          <w:p>
            <w:pPr>
              <w:pStyle w:val="ListParagraph"/>
              <w:numPr>
                <w:ilvl w:val="0"/>
                <w:numId w:val="2"/>
              </w:numPr>
              <w:spacing w:after="60" w:before="60"/>
            </w:pPr>
            <w:r>
              <w:rPr>
                <w:rFonts w:ascii="Arial" w:cs="Arial" w:eastAsia="Arial" w:hAnsi="Arial"/>
                <w:b w:val="false"/>
                <w:bCs w:val="false"/>
                <w:color w:val="000719"/>
                <w:sz w:val="22"/>
                <w:szCs w:val="22"/>
              </w:rPr>
              <w:t xml:space="preserve">Ride posting: route, time, seats, price</w:t>
            </w:r>
          </w:p>
          <w:p>
            <w:pPr>
              <w:pStyle w:val="ListParagraph"/>
              <w:numPr>
                <w:ilvl w:val="0"/>
                <w:numId w:val="2"/>
              </w:numPr>
              <w:spacing w:after="60" w:before="60"/>
            </w:pPr>
            <w:r>
              <w:rPr>
                <w:rFonts w:ascii="Arial" w:cs="Arial" w:eastAsia="Arial" w:hAnsi="Arial"/>
                <w:b w:val="false"/>
                <w:bCs w:val="false"/>
                <w:color w:val="000719"/>
                <w:sz w:val="22"/>
                <w:szCs w:val="22"/>
              </w:rPr>
              <w:t xml:space="preserve">Smart ride search &amp; matching</w:t>
            </w:r>
          </w:p>
          <w:p>
            <w:pPr>
              <w:pStyle w:val="ListParagraph"/>
              <w:numPr>
                <w:ilvl w:val="0"/>
                <w:numId w:val="2"/>
              </w:numPr>
              <w:spacing w:after="60" w:before="60"/>
            </w:pPr>
            <w:r>
              <w:rPr>
                <w:rFonts w:ascii="Arial" w:cs="Arial" w:eastAsia="Arial" w:hAnsi="Arial"/>
                <w:b w:val="false"/>
                <w:bCs w:val="false"/>
                <w:color w:val="000719"/>
                <w:sz w:val="22"/>
                <w:szCs w:val="22"/>
              </w:rPr>
              <w:t xml:space="preserve">Google Maps route preview</w:t>
            </w:r>
          </w:p>
          <w:p>
            <w:pPr>
              <w:pStyle w:val="ListParagraph"/>
              <w:numPr>
                <w:ilvl w:val="0"/>
                <w:numId w:val="2"/>
              </w:numPr>
              <w:spacing w:after="60" w:before="60"/>
            </w:pPr>
            <w:r>
              <w:rPr>
                <w:rFonts w:ascii="Arial" w:cs="Arial" w:eastAsia="Arial" w:hAnsi="Arial"/>
                <w:b w:val="false"/>
                <w:bCs w:val="false"/>
                <w:color w:val="000719"/>
                <w:sz w:val="22"/>
                <w:szCs w:val="22"/>
              </w:rPr>
              <w:t xml:space="preserve">In-app messaging (driver ↔ rider)</w:t>
            </w:r>
          </w:p>
          <w:p>
            <w:pPr>
              <w:pStyle w:val="ListParagraph"/>
              <w:numPr>
                <w:ilvl w:val="0"/>
                <w:numId w:val="2"/>
              </w:numPr>
              <w:spacing w:after="60" w:before="60"/>
            </w:pPr>
            <w:r>
              <w:rPr>
                <w:rFonts w:ascii="Arial" w:cs="Arial" w:eastAsia="Arial" w:hAnsi="Arial"/>
                <w:b w:val="false"/>
                <w:bCs w:val="false"/>
                <w:color w:val="000719"/>
                <w:sz w:val="22"/>
                <w:szCs w:val="22"/>
              </w:rPr>
              <w:t xml:space="preserve">Ratings &amp; trust score system</w:t>
            </w:r>
          </w:p>
          <w:p>
            <w:pPr>
              <w:pStyle w:val="ListParagraph"/>
              <w:numPr>
                <w:ilvl w:val="0"/>
                <w:numId w:val="2"/>
              </w:numPr>
              <w:spacing w:after="60" w:before="60"/>
            </w:pPr>
            <w:r>
              <w:rPr>
                <w:rFonts w:ascii="Arial" w:cs="Arial" w:eastAsia="Arial" w:hAnsi="Arial"/>
                <w:b w:val="false"/>
                <w:bCs w:val="false"/>
                <w:color w:val="000719"/>
                <w:sz w:val="22"/>
                <w:szCs w:val="22"/>
              </w:rPr>
              <w:t xml:space="preserve">Trip history &amp; receipts</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pStyle w:val="ListParagraph"/>
              <w:numPr>
                <w:ilvl w:val="0"/>
                <w:numId w:val="2"/>
              </w:numPr>
              <w:spacing w:after="60" w:before="60"/>
            </w:pPr>
            <w:r>
              <w:rPr>
                <w:rFonts w:ascii="Arial" w:cs="Arial" w:eastAsia="Arial" w:hAnsi="Arial"/>
                <w:b w:val="false"/>
                <w:bCs w:val="false"/>
                <w:color w:val="000719"/>
                <w:sz w:val="22"/>
                <w:szCs w:val="22"/>
              </w:rPr>
              <w:t xml:space="preserve">Gender preference settings</w:t>
            </w:r>
          </w:p>
          <w:p>
            <w:pPr>
              <w:pStyle w:val="ListParagraph"/>
              <w:numPr>
                <w:ilvl w:val="0"/>
                <w:numId w:val="2"/>
              </w:numPr>
              <w:spacing w:after="60" w:before="60"/>
            </w:pPr>
            <w:r>
              <w:rPr>
                <w:rFonts w:ascii="Arial" w:cs="Arial" w:eastAsia="Arial" w:hAnsi="Arial"/>
                <w:b w:val="false"/>
                <w:bCs w:val="false"/>
                <w:color w:val="000719"/>
                <w:sz w:val="22"/>
                <w:szCs w:val="22"/>
              </w:rPr>
              <w:t xml:space="preserve">Recurring ride scheduling</w:t>
            </w:r>
          </w:p>
          <w:p>
            <w:pPr>
              <w:pStyle w:val="ListParagraph"/>
              <w:numPr>
                <w:ilvl w:val="0"/>
                <w:numId w:val="2"/>
              </w:numPr>
              <w:spacing w:after="60" w:before="60"/>
            </w:pPr>
            <w:r>
              <w:rPr>
                <w:rFonts w:ascii="Arial" w:cs="Arial" w:eastAsia="Arial" w:hAnsi="Arial"/>
                <w:b w:val="false"/>
                <w:bCs w:val="false"/>
                <w:color w:val="000719"/>
                <w:sz w:val="22"/>
                <w:szCs w:val="22"/>
              </w:rPr>
              <w:t xml:space="preserve">Cost-sharing contributions — cash + in-app record (processing in commercial mode)</w:t>
            </w:r>
          </w:p>
          <w:p>
            <w:pPr>
              <w:pStyle w:val="ListParagraph"/>
              <w:numPr>
                <w:ilvl w:val="0"/>
                <w:numId w:val="2"/>
              </w:numPr>
              <w:spacing w:after="60" w:before="60"/>
            </w:pPr>
            <w:r>
              <w:rPr>
                <w:rFonts w:ascii="Arial" w:cs="Arial" w:eastAsia="Arial" w:hAnsi="Arial"/>
                <w:b w:val="false"/>
                <w:bCs w:val="false"/>
                <w:color w:val="000719"/>
                <w:sz w:val="22"/>
                <w:szCs w:val="22"/>
              </w:rPr>
              <w:t xml:space="preserve">Emergency contact &amp; ride sharing (safety)</w:t>
            </w:r>
          </w:p>
          <w:p>
            <w:pPr>
              <w:pStyle w:val="ListParagraph"/>
              <w:numPr>
                <w:ilvl w:val="0"/>
                <w:numId w:val="2"/>
              </w:numPr>
              <w:spacing w:after="60" w:before="60"/>
            </w:pPr>
            <w:r>
              <w:rPr>
                <w:rFonts w:ascii="Arial" w:cs="Arial" w:eastAsia="Arial" w:hAnsi="Arial"/>
                <w:b w:val="false"/>
                <w:bCs w:val="false"/>
                <w:color w:val="000719"/>
                <w:sz w:val="22"/>
                <w:szCs w:val="22"/>
              </w:rPr>
              <w:t xml:space="preserve">Arabic + English UI (RTL support)</w:t>
            </w:r>
          </w:p>
          <w:p>
            <w:pPr>
              <w:pStyle w:val="ListParagraph"/>
              <w:numPr>
                <w:ilvl w:val="0"/>
                <w:numId w:val="2"/>
              </w:numPr>
              <w:spacing w:after="60" w:before="60"/>
            </w:pPr>
            <w:r>
              <w:rPr>
                <w:rFonts w:ascii="Arial" w:cs="Arial" w:eastAsia="Arial" w:hAnsi="Arial"/>
                <w:b w:val="false"/>
                <w:bCs w:val="false"/>
                <w:color w:val="000719"/>
                <w:sz w:val="22"/>
                <w:szCs w:val="22"/>
              </w:rPr>
              <w:t xml:space="preserve">Push notifications</w:t>
            </w:r>
          </w:p>
          <w:p>
            <w:pPr>
              <w:pStyle w:val="ListParagraph"/>
              <w:numPr>
                <w:ilvl w:val="0"/>
                <w:numId w:val="2"/>
              </w:numPr>
              <w:spacing w:after="60" w:before="60"/>
            </w:pPr>
            <w:r>
              <w:rPr>
                <w:rFonts w:ascii="Arial" w:cs="Arial" w:eastAsia="Arial" w:hAnsi="Arial"/>
                <w:b w:val="false"/>
                <w:bCs w:val="false"/>
                <w:color w:val="000719"/>
                <w:sz w:val="22"/>
                <w:szCs w:val="22"/>
              </w:rPr>
              <w:t xml:space="preserve">Carbon savings tracker</w:t>
            </w:r>
          </w:p>
          <w:p>
            <w:pPr>
              <w:pStyle w:val="ListParagraph"/>
              <w:numPr>
                <w:ilvl w:val="0"/>
                <w:numId w:val="2"/>
              </w:numPr>
              <w:spacing w:after="60" w:before="60"/>
            </w:pPr>
            <w:r>
              <w:rPr>
                <w:rFonts w:ascii="Arial" w:cs="Arial" w:eastAsia="Arial" w:hAnsi="Arial"/>
                <w:b w:val="false"/>
                <w:bCs w:val="false"/>
                <w:color w:val="000719"/>
                <w:sz w:val="22"/>
                <w:szCs w:val="22"/>
              </w:rPr>
              <w:t xml:space="preserve">Referral system</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3.2  Enterprise Module (Post-MVP)</w:t>
      </w:r>
    </w:p>
    <w:p>
      <w:pPr>
        <w:spacing w:after="80" w:before="80"/>
      </w:pPr>
      <w:r>
        <w:rPr>
          <w:rFonts w:ascii="Arial" w:cs="Arial" w:eastAsia="Arial" w:hAnsi="Arial"/>
          <w:color w:val="000719"/>
          <w:sz w:val="22"/>
          <w:szCs w:val="22"/>
        </w:rPr>
        <w:t xml:space="preserve">The enterprise module transforms PoolD into a B2B SaaS product — enabling large organisations to manage employee carpooling as a structured benefit.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Enterprise Features</w:t>
            </w:r>
          </w:p>
          <w:p>
            <w:pPr>
              <w:spacing w:after="40" w:before="40"/>
            </w:pPr>
            <w:r>
              <w:rPr>
                <w:rFonts w:ascii="Arial" w:cs="Arial" w:eastAsia="Arial" w:hAnsi="Arial"/>
                <w:color w:val="000719"/>
                <w:sz w:val="20"/>
                <w:szCs w:val="20"/>
              </w:rPr>
              <w:t xml:space="preserve">• Company admin dashboard — manage employees, monitor rides, generate reports</w:t>
            </w:r>
          </w:p>
          <w:p>
            <w:pPr>
              <w:spacing w:after="40" w:before="40"/>
            </w:pPr>
            <w:r>
              <w:rPr>
                <w:rFonts w:ascii="Arial" w:cs="Arial" w:eastAsia="Arial" w:hAnsi="Arial"/>
                <w:color w:val="000719"/>
                <w:sz w:val="20"/>
                <w:szCs w:val="20"/>
              </w:rPr>
              <w:t xml:space="preserve">• Corporate carpooling pools — employees matched within same organisation</w:t>
            </w:r>
          </w:p>
          <w:p>
            <w:pPr>
              <w:spacing w:after="40" w:before="40"/>
            </w:pPr>
            <w:r>
              <w:rPr>
                <w:rFonts w:ascii="Arial" w:cs="Arial" w:eastAsia="Arial" w:hAnsi="Arial"/>
                <w:color w:val="000719"/>
                <w:sz w:val="20"/>
                <w:szCs w:val="20"/>
              </w:rPr>
              <w:t xml:space="preserve">• Monthly cost &amp; carbon reporting for ESG compliance</w:t>
            </w:r>
          </w:p>
          <w:p>
            <w:pPr>
              <w:spacing w:after="40" w:before="40"/>
            </w:pPr>
            <w:r>
              <w:rPr>
                <w:rFonts w:ascii="Arial" w:cs="Arial" w:eastAsia="Arial" w:hAnsi="Arial"/>
                <w:color w:val="000719"/>
                <w:sz w:val="20"/>
                <w:szCs w:val="20"/>
              </w:rPr>
              <w:t xml:space="preserve">• API integration with HR systems (SAP, Oracle, Workday)</w:t>
            </w:r>
          </w:p>
          <w:p>
            <w:pPr>
              <w:spacing w:after="40" w:before="40"/>
            </w:pPr>
            <w:r>
              <w:rPr>
                <w:rFonts w:ascii="Arial" w:cs="Arial" w:eastAsia="Arial" w:hAnsi="Arial"/>
                <w:color w:val="000719"/>
                <w:sz w:val="20"/>
                <w:szCs w:val="20"/>
              </w:rPr>
              <w:t xml:space="preserve">• White-label option available for strategic buyers</w:t>
            </w:r>
          </w:p>
          <w:p>
            <w:pPr>
              <w:spacing w:after="40" w:before="40"/>
            </w:pPr>
            <w:r>
              <w:rPr>
                <w:rFonts w:ascii="Arial" w:cs="Arial" w:eastAsia="Arial" w:hAnsi="Arial"/>
                <w:color w:val="000719"/>
                <w:sz w:val="20"/>
                <w:szCs w:val="20"/>
              </w:rPr>
              <w:t xml:space="preserve">• Bulk billing and invoice generation in AED/SAR/QAR</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4. Market Opportunity</w:t>
      </w:r>
    </w:p>
    <w:p>
      <w:pPr>
        <w:pStyle w:val="Heading2"/>
        <w:spacing w:after="160" w:before="300"/>
      </w:pPr>
      <w:r>
        <w:rPr>
          <w:rFonts w:ascii="Arial" w:cs="Arial" w:eastAsia="Arial" w:hAnsi="Arial"/>
          <w:b/>
          <w:bCs/>
          <w:color w:val="016CEB"/>
          <w:sz w:val="26"/>
          <w:szCs w:val="26"/>
        </w:rPr>
        <w:t xml:space="preserve">4.1  UAE Market</w:t>
      </w:r>
    </w:p>
    <w:p>
      <w:pPr>
        <w:spacing w:after="80" w:before="80"/>
      </w:pPr>
      <w:r>
        <w:rPr>
          <w:rFonts w:ascii="Arial" w:cs="Arial" w:eastAsia="Arial" w:hAnsi="Arial"/>
          <w:color w:val="000719"/>
          <w:sz w:val="22"/>
          <w:szCs w:val="22"/>
        </w:rPr>
        <w:t xml:space="preserve">The UAE is one of the world's highest per-capita car ownership markets. With over 3.5 million daily commuters and a government actively pushing sustainable mobility, the timing for a carpooling platform has never been better.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160"/>
            <w:tcBorders>
              <w:top w:val="none" w:color="FFFFFF" w:sz="0"/>
              <w:left w:val="none" w:color="FFFFFF" w:sz="0"/>
              <w:bottom w:val="none" w:color="FFFFFF" w:sz="0"/>
              <w:right w:val="none" w:color="FFFFFF" w:sz="0"/>
            </w:tcBorders>
            <w:shd w:fill="016CEB"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3.5M</w:t>
            </w:r>
          </w:p>
          <w:p>
            <w:pPr>
              <w:jc w:val="center"/>
            </w:pPr>
            <w:r>
              <w:rPr>
                <w:rFonts w:ascii="Arial" w:cs="Arial" w:eastAsia="Arial" w:hAnsi="Arial"/>
                <w:color w:val="FFFFFF"/>
                <w:sz w:val="18"/>
                <w:szCs w:val="18"/>
              </w:rPr>
              <w:t xml:space="preserve">Registered Vehicles</w:t>
            </w:r>
          </w:p>
        </w:tc>
        <w:tc>
          <w:tcPr>
            <w:tcW w:type="dxa" w:w="2160"/>
            <w:tcBorders>
              <w:top w:val="none" w:color="FFFFFF" w:sz="0"/>
              <w:left w:val="none" w:color="FFFFFF" w:sz="0"/>
              <w:bottom w:val="none" w:color="FFFFFF" w:sz="0"/>
              <w:right w:val="none" w:color="FFFFFF" w:sz="0"/>
            </w:tcBorders>
            <w:shd w:fill="04D6BF"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2.8M</w:t>
            </w:r>
          </w:p>
          <w:p>
            <w:pPr>
              <w:jc w:val="center"/>
            </w:pPr>
            <w:r>
              <w:rPr>
                <w:rFonts w:ascii="Arial" w:cs="Arial" w:eastAsia="Arial" w:hAnsi="Arial"/>
                <w:color w:val="FFFFFF"/>
                <w:sz w:val="18"/>
                <w:szCs w:val="18"/>
              </w:rPr>
              <w:t xml:space="preserve">Daily Commuters</w:t>
            </w:r>
          </w:p>
        </w:tc>
        <w:tc>
          <w:tcPr>
            <w:tcW w:type="dxa" w:w="2160"/>
            <w:tcBorders>
              <w:top w:val="none" w:color="FFFFFF" w:sz="0"/>
              <w:left w:val="none" w:color="FFFFFF" w:sz="0"/>
              <w:bottom w:val="none" w:color="FFFFFF" w:sz="0"/>
              <w:right w:val="none" w:color="FFFFFF" w:sz="0"/>
            </w:tcBorders>
            <w:shd w:fill="7C3AED"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78%</w:t>
            </w:r>
          </w:p>
          <w:p>
            <w:pPr>
              <w:jc w:val="center"/>
            </w:pPr>
            <w:r>
              <w:rPr>
                <w:rFonts w:ascii="Arial" w:cs="Arial" w:eastAsia="Arial" w:hAnsi="Arial"/>
                <w:color w:val="FFFFFF"/>
                <w:sz w:val="18"/>
                <w:szCs w:val="18"/>
              </w:rPr>
              <w:t xml:space="preserve">Single-Occupancy Rate</w:t>
            </w:r>
          </w:p>
        </w:tc>
        <w:tc>
          <w:tcPr>
            <w:tcW w:type="dxa" w:w="2160"/>
            <w:tcBorders>
              <w:top w:val="none" w:color="FFFFFF" w:sz="0"/>
              <w:left w:val="none" w:color="FFFFFF" w:sz="0"/>
              <w:bottom w:val="none" w:color="FFFFFF" w:sz="0"/>
              <w:right w:val="none" w:color="FFFFFF" w:sz="0"/>
            </w:tcBorders>
            <w:shd w:fill="F59E0B" w:val="clear"/>
            <w:tcMar>
              <w:top w:type="dxa" w:w="180"/>
              <w:left w:type="dxa" w:w="180"/>
              <w:bottom w:type="dxa" w:w="180"/>
              <w:right w:type="dxa" w:w="180"/>
            </w:tcMar>
          </w:tcPr>
          <w:p>
            <w:pPr>
              <w:jc w:val="center"/>
            </w:pPr>
            <w:r>
              <w:rPr>
                <w:rFonts w:ascii="Arial" w:cs="Arial" w:eastAsia="Arial" w:hAnsi="Arial"/>
                <w:b/>
                <w:bCs/>
                <w:color w:val="FFFFFF"/>
                <w:sz w:val="36"/>
                <w:szCs w:val="36"/>
              </w:rPr>
              <w:t xml:space="preserve">32km</w:t>
            </w:r>
          </w:p>
          <w:p>
            <w:pPr>
              <w:jc w:val="center"/>
            </w:pPr>
            <w:r>
              <w:rPr>
                <w:rFonts w:ascii="Arial" w:cs="Arial" w:eastAsia="Arial" w:hAnsi="Arial"/>
                <w:color w:val="FFFFFF"/>
                <w:sz w:val="18"/>
                <w:szCs w:val="18"/>
              </w:rPr>
              <w:t xml:space="preserve">Avg Trip Length</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4.2  GCC Expansion —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Country</w:t>
            </w:r>
          </w:p>
        </w:tc>
        <w:tc>
          <w:tcPr>
            <w:tcW w:type="dxa" w:w="234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Commuters</w:t>
            </w:r>
          </w:p>
        </w:tc>
        <w:tc>
          <w:tcPr>
            <w:tcW w:type="dxa" w:w="234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Currency</w:t>
            </w:r>
          </w:p>
        </w:tc>
        <w:tc>
          <w:tcPr>
            <w:tcW w:type="dxa" w:w="234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Launch Priority</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 UAE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2.8M</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AED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Phase 1</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 Saudi Arabia</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8.2M</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SAR</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Phase 2</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 Qatar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1.4M</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QAR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Phase 2</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 Kuwait</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1.1M</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KWD</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Phase 3</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 Bahrain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0.5M</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BHD</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20"/>
                <w:szCs w:val="20"/>
              </w:rPr>
              <w:t xml:space="preserve">Phase 3</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 Oman</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0.9M</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OMR</w:t>
            </w:r>
          </w:p>
        </w:tc>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20"/>
                <w:szCs w:val="20"/>
              </w:rPr>
              <w:t xml:space="preserve">Phase 3</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5. Competitive Landscape</w:t>
      </w:r>
    </w:p>
    <w:p>
      <w:pPr>
        <w:spacing w:after="80" w:before="80"/>
      </w:pPr>
      <w:r>
        <w:rPr>
          <w:rFonts w:ascii="Arial" w:cs="Arial" w:eastAsia="Arial" w:hAnsi="Arial"/>
          <w:color w:val="000719"/>
          <w:sz w:val="22"/>
          <w:szCs w:val="22"/>
        </w:rPr>
        <w:t xml:space="preserve">PoolD occupies a unique white space in the UAE mobility market — between expensive ride-hailing and limited public transport — with no direct locally-built competitor currently operating at scale.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1560"/>
        <w:gridCol w:w="1560"/>
        <w:gridCol w:w="1560"/>
        <w:gridCol w:w="1040"/>
      </w:tblGrid>
      <w:tr>
        <w:tc>
          <w:tcPr>
            <w:tcW w:type="dxa" w:w="2080"/>
            <w:tcBorders>
              <w:top w:val="single" w:color="E2E8F0" w:sz="1"/>
              <w:left w:val="single" w:color="E2E8F0" w:sz="1"/>
              <w:bottom w:val="single" w:color="E2E8F0" w:sz="1"/>
              <w:right w:val="single" w:color="E2E8F0" w:sz="1"/>
            </w:tcBorders>
            <w:shd w:fill="00071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
            </w:r>
          </w:p>
        </w:tc>
        <w:tc>
          <w:tcPr>
            <w:tcW w:type="dxa" w:w="1560"/>
            <w:tcBorders>
              <w:top w:val="single" w:color="E2E8F0" w:sz="1"/>
              <w:left w:val="single" w:color="E2E8F0" w:sz="1"/>
              <w:bottom w:val="single" w:color="E2E8F0" w:sz="1"/>
              <w:right w:val="single" w:color="E2E8F0" w:sz="1"/>
            </w:tcBorders>
            <w:shd w:fill="016CE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PoolD</w:t>
            </w:r>
          </w:p>
        </w:tc>
        <w:tc>
          <w:tcPr>
            <w:tcW w:type="dxa" w:w="1560"/>
            <w:tcBorders>
              <w:top w:val="single" w:color="E2E8F0" w:sz="1"/>
              <w:left w:val="single" w:color="E2E8F0" w:sz="1"/>
              <w:bottom w:val="single" w:color="E2E8F0" w:sz="1"/>
              <w:right w:val="single" w:color="E2E8F0" w:sz="1"/>
            </w:tcBorders>
            <w:shd w:fill="00071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Careem/Uber</w:t>
            </w:r>
          </w:p>
        </w:tc>
        <w:tc>
          <w:tcPr>
            <w:tcW w:type="dxa" w:w="1560"/>
            <w:tcBorders>
              <w:top w:val="single" w:color="E2E8F0" w:sz="1"/>
              <w:left w:val="single" w:color="E2E8F0" w:sz="1"/>
              <w:bottom w:val="single" w:color="E2E8F0" w:sz="1"/>
              <w:right w:val="single" w:color="E2E8F0" w:sz="1"/>
            </w:tcBorders>
            <w:shd w:fill="00071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BlaBlaCar</w:t>
            </w:r>
          </w:p>
        </w:tc>
        <w:tc>
          <w:tcPr>
            <w:tcW w:type="dxa" w:w="1560"/>
            <w:tcBorders>
              <w:top w:val="single" w:color="E2E8F0" w:sz="1"/>
              <w:left w:val="single" w:color="E2E8F0" w:sz="1"/>
              <w:bottom w:val="single" w:color="E2E8F0" w:sz="1"/>
              <w:right w:val="single" w:color="E2E8F0" w:sz="1"/>
            </w:tcBorders>
            <w:shd w:fill="00071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Public Transport</w:t>
            </w:r>
          </w:p>
        </w:tc>
        <w:tc>
          <w:tcPr>
            <w:tcW w:type="dxa" w:w="1040"/>
            <w:tcBorders>
              <w:top w:val="single" w:color="E2E8F0" w:sz="1"/>
              <w:left w:val="single" w:color="E2E8F0" w:sz="1"/>
              <w:bottom w:val="single" w:color="E2E8F0" w:sz="1"/>
              <w:right w:val="single" w:color="E2E8F0" w:sz="1"/>
            </w:tcBorders>
            <w:shd w:fill="00071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WhatsApp</w:t>
            </w:r>
          </w:p>
        </w:tc>
      </w:tr>
      <w:tr>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719"/>
                <w:sz w:val="18"/>
                <w:szCs w:val="18"/>
              </w:rPr>
              <w:t xml:space="preserve">UAE/GCC Localized</w:t>
            </w:r>
          </w:p>
        </w:tc>
        <w:tc>
          <w:tcPr>
            <w:tcW w:type="dxa" w:w="1560"/>
            <w:tcBorders>
              <w:top w:val="single" w:color="E2E8F0" w:sz="1"/>
              <w:left w:val="single" w:color="E2E8F0" w:sz="1"/>
              <w:bottom w:val="single" w:color="E2E8F0" w:sz="1"/>
              <w:right w:val="single" w:color="E2E8F0" w:sz="1"/>
            </w:tcBorders>
            <w:shd w:fill="EAF4F9" w:val="clear"/>
            <w:tcMar>
              <w:top w:type="dxa" w:w="80"/>
              <w:left w:type="dxa" w:w="120"/>
              <w:bottom w:type="dxa" w:w="80"/>
              <w:right w:type="dxa" w:w="120"/>
            </w:tcMar>
          </w:tcPr>
          <w:p>
            <w:pPr>
              <w:jc w:val="center"/>
            </w:pPr>
            <w:r>
              <w:rPr>
                <w:rFonts w:ascii="Arial" w:cs="Arial" w:eastAsia="Arial" w:hAnsi="Arial"/>
                <w:b/>
                <w:bCs/>
                <w:color w:val="016CEB"/>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Partial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r>
      <w:tr>
        <w:tc>
          <w:tcPr>
            <w:tcW w:type="dxa" w:w="20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left"/>
            </w:pPr>
            <w:r>
              <w:rPr>
                <w:rFonts w:ascii="Arial" w:cs="Arial" w:eastAsia="Arial" w:hAnsi="Arial"/>
                <w:b w:val="false"/>
                <w:bCs w:val="false"/>
                <w:color w:val="000719"/>
                <w:sz w:val="18"/>
                <w:szCs w:val="18"/>
              </w:rPr>
              <w:t xml:space="preserve">Carpooling Focus</w:t>
            </w:r>
          </w:p>
        </w:tc>
        <w:tc>
          <w:tcPr>
            <w:tcW w:type="dxa" w:w="1560"/>
            <w:tcBorders>
              <w:top w:val="single" w:color="E2E8F0" w:sz="1"/>
              <w:left w:val="single" w:color="E2E8F0" w:sz="1"/>
              <w:bottom w:val="single" w:color="E2E8F0" w:sz="1"/>
              <w:right w:val="single" w:color="E2E8F0" w:sz="1"/>
            </w:tcBorders>
            <w:shd w:fill="EAF4F9" w:val="clear"/>
            <w:tcMar>
              <w:top w:type="dxa" w:w="80"/>
              <w:left w:type="dxa" w:w="120"/>
              <w:bottom w:type="dxa" w:w="80"/>
              <w:right w:type="dxa" w:w="120"/>
            </w:tcMar>
          </w:tcPr>
          <w:p>
            <w:pPr>
              <w:jc w:val="center"/>
            </w:pPr>
            <w:r>
              <w:rPr>
                <w:rFonts w:ascii="Arial" w:cs="Arial" w:eastAsia="Arial" w:hAnsi="Arial"/>
                <w:b/>
                <w:bCs/>
                <w:color w:val="016CEB"/>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r>
      <w:tr>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719"/>
                <w:sz w:val="18"/>
                <w:szCs w:val="18"/>
              </w:rPr>
              <w:t xml:space="preserve">Arabic RTL UI</w:t>
            </w:r>
          </w:p>
        </w:tc>
        <w:tc>
          <w:tcPr>
            <w:tcW w:type="dxa" w:w="1560"/>
            <w:tcBorders>
              <w:top w:val="single" w:color="E2E8F0" w:sz="1"/>
              <w:left w:val="single" w:color="E2E8F0" w:sz="1"/>
              <w:bottom w:val="single" w:color="E2E8F0" w:sz="1"/>
              <w:right w:val="single" w:color="E2E8F0" w:sz="1"/>
            </w:tcBorders>
            <w:shd w:fill="EAF4F9" w:val="clear"/>
            <w:tcMar>
              <w:top w:type="dxa" w:w="80"/>
              <w:left w:type="dxa" w:w="120"/>
              <w:bottom w:type="dxa" w:w="80"/>
              <w:right w:type="dxa" w:w="120"/>
            </w:tcMar>
          </w:tcPr>
          <w:p>
            <w:pPr>
              <w:jc w:val="center"/>
            </w:pPr>
            <w:r>
              <w:rPr>
                <w:rFonts w:ascii="Arial" w:cs="Arial" w:eastAsia="Arial" w:hAnsi="Arial"/>
                <w:b/>
                <w:bCs/>
                <w:color w:val="016CEB"/>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r>
      <w:tr>
        <w:tc>
          <w:tcPr>
            <w:tcW w:type="dxa" w:w="20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left"/>
            </w:pPr>
            <w:r>
              <w:rPr>
                <w:rFonts w:ascii="Arial" w:cs="Arial" w:eastAsia="Arial" w:hAnsi="Arial"/>
                <w:b w:val="false"/>
                <w:bCs w:val="false"/>
                <w:color w:val="000719"/>
                <w:sz w:val="18"/>
                <w:szCs w:val="18"/>
              </w:rPr>
              <w:t xml:space="preserve">Affordable Daily Use</w:t>
            </w:r>
          </w:p>
        </w:tc>
        <w:tc>
          <w:tcPr>
            <w:tcW w:type="dxa" w:w="1560"/>
            <w:tcBorders>
              <w:top w:val="single" w:color="E2E8F0" w:sz="1"/>
              <w:left w:val="single" w:color="E2E8F0" w:sz="1"/>
              <w:bottom w:val="single" w:color="E2E8F0" w:sz="1"/>
              <w:right w:val="single" w:color="E2E8F0" w:sz="1"/>
            </w:tcBorders>
            <w:shd w:fill="EAF4F9" w:val="clear"/>
            <w:tcMar>
              <w:top w:type="dxa" w:w="80"/>
              <w:left w:type="dxa" w:w="120"/>
              <w:bottom w:type="dxa" w:w="80"/>
              <w:right w:type="dxa" w:w="120"/>
            </w:tcMar>
          </w:tcPr>
          <w:p>
            <w:pPr>
              <w:jc w:val="center"/>
            </w:pPr>
            <w:r>
              <w:rPr>
                <w:rFonts w:ascii="Arial" w:cs="Arial" w:eastAsia="Arial" w:hAnsi="Arial"/>
                <w:b/>
                <w:bCs/>
                <w:color w:val="016CEB"/>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N/A</w:t>
            </w:r>
          </w:p>
        </w:tc>
      </w:tr>
      <w:tr>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719"/>
                <w:sz w:val="18"/>
                <w:szCs w:val="18"/>
              </w:rPr>
              <w:t xml:space="preserve">Trust &amp; Verification</w:t>
            </w:r>
          </w:p>
        </w:tc>
        <w:tc>
          <w:tcPr>
            <w:tcW w:type="dxa" w:w="1560"/>
            <w:tcBorders>
              <w:top w:val="single" w:color="E2E8F0" w:sz="1"/>
              <w:left w:val="single" w:color="E2E8F0" w:sz="1"/>
              <w:bottom w:val="single" w:color="E2E8F0" w:sz="1"/>
              <w:right w:val="single" w:color="E2E8F0" w:sz="1"/>
            </w:tcBorders>
            <w:shd w:fill="EAF4F9" w:val="clear"/>
            <w:tcMar>
              <w:top w:type="dxa" w:w="80"/>
              <w:left w:type="dxa" w:w="120"/>
              <w:bottom w:type="dxa" w:w="80"/>
              <w:right w:type="dxa" w:w="120"/>
            </w:tcMar>
          </w:tcPr>
          <w:p>
            <w:pPr>
              <w:jc w:val="center"/>
            </w:pPr>
            <w:r>
              <w:rPr>
                <w:rFonts w:ascii="Arial" w:cs="Arial" w:eastAsia="Arial" w:hAnsi="Arial"/>
                <w:b/>
                <w:bCs/>
                <w:color w:val="016CEB"/>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N/A</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r>
      <w:tr>
        <w:tc>
          <w:tcPr>
            <w:tcW w:type="dxa" w:w="208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left"/>
            </w:pPr>
            <w:r>
              <w:rPr>
                <w:rFonts w:ascii="Arial" w:cs="Arial" w:eastAsia="Arial" w:hAnsi="Arial"/>
                <w:b w:val="false"/>
                <w:bCs w:val="false"/>
                <w:color w:val="000719"/>
                <w:sz w:val="18"/>
                <w:szCs w:val="18"/>
              </w:rPr>
              <w:t xml:space="preserve">Enterprise Module</w:t>
            </w:r>
          </w:p>
        </w:tc>
        <w:tc>
          <w:tcPr>
            <w:tcW w:type="dxa" w:w="1560"/>
            <w:tcBorders>
              <w:top w:val="single" w:color="E2E8F0" w:sz="1"/>
              <w:left w:val="single" w:color="E2E8F0" w:sz="1"/>
              <w:bottom w:val="single" w:color="E2E8F0" w:sz="1"/>
              <w:right w:val="single" w:color="E2E8F0" w:sz="1"/>
            </w:tcBorders>
            <w:shd w:fill="EAF4F9" w:val="clear"/>
            <w:tcMar>
              <w:top w:type="dxa" w:w="80"/>
              <w:left w:type="dxa" w:w="120"/>
              <w:bottom w:type="dxa" w:w="80"/>
              <w:right w:type="dxa" w:w="120"/>
            </w:tcMar>
          </w:tcPr>
          <w:p>
            <w:pPr>
              <w:jc w:val="center"/>
            </w:pPr>
            <w:r>
              <w:rPr>
                <w:rFonts w:ascii="Arial" w:cs="Arial" w:eastAsia="Arial" w:hAnsi="Arial"/>
                <w:b/>
                <w:bCs/>
                <w:color w:val="016CEB"/>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Limited</w:t>
            </w:r>
          </w:p>
        </w:tc>
        <w:tc>
          <w:tcPr>
            <w:tcW w:type="dxa" w:w="1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r>
      <w:tr>
        <w:tc>
          <w:tcPr>
            <w:tcW w:type="dxa" w:w="20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719"/>
                <w:sz w:val="18"/>
                <w:szCs w:val="18"/>
              </w:rPr>
              <w:t xml:space="preserve">Data / Analytics</w:t>
            </w:r>
          </w:p>
        </w:tc>
        <w:tc>
          <w:tcPr>
            <w:tcW w:type="dxa" w:w="1560"/>
            <w:tcBorders>
              <w:top w:val="single" w:color="E2E8F0" w:sz="1"/>
              <w:left w:val="single" w:color="E2E8F0" w:sz="1"/>
              <w:bottom w:val="single" w:color="E2E8F0" w:sz="1"/>
              <w:right w:val="single" w:color="E2E8F0" w:sz="1"/>
            </w:tcBorders>
            <w:shd w:fill="EAF4F9" w:val="clear"/>
            <w:tcMar>
              <w:top w:type="dxa" w:w="80"/>
              <w:left w:type="dxa" w:w="120"/>
              <w:bottom w:type="dxa" w:w="80"/>
              <w:right w:type="dxa" w:w="120"/>
            </w:tcMar>
          </w:tcPr>
          <w:p>
            <w:pPr>
              <w:jc w:val="center"/>
            </w:pPr>
            <w:r>
              <w:rPr>
                <w:rFonts w:ascii="Arial" w:cs="Arial" w:eastAsia="Arial" w:hAnsi="Arial"/>
                <w:b/>
                <w:bCs/>
                <w:color w:val="016CEB"/>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Limited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Limited</w:t>
            </w:r>
          </w:p>
        </w:tc>
        <w:tc>
          <w:tcPr>
            <w:tcW w:type="dxa" w:w="1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719"/>
                <w:sz w:val="18"/>
                <w:szCs w:val="18"/>
              </w:rPr>
              <w:t xml:space="preserve">❌</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6. Business Model</w:t>
      </w:r>
    </w:p>
    <w:p>
      <w:pPr>
        <w:spacing w:after="80" w:before="80"/>
      </w:pPr>
      <w:r>
        <w:rPr>
          <w:rFonts w:ascii="Arial" w:cs="Arial" w:eastAsia="Arial" w:hAnsi="Arial"/>
          <w:color w:val="000719"/>
          <w:sz w:val="22"/>
          <w:szCs w:val="22"/>
        </w:rPr>
        <w:t xml:space="preserve">PoolD follows a regulatory-compliant, two-stage model. At launch, the platform operates strictly as a cost-sharing service in line with UAE carpooling law — drivers recover travel costs only, with no profit, and PoolD takes no commission on rides. Revenue is generated entirely from services around the ride: subscriptions, enterprise contracts, and data. Once PoolD secures a transport licence — independently or via acquisition — the platform switches on a commercial, commission-based mode that is already built into the product architecture.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7ED"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Regulatory Position — Why This Matters</w:t>
            </w:r>
          </w:p>
          <w:p>
            <w:pPr>
              <w:spacing w:after="40" w:before="40"/>
            </w:pPr>
            <w:r>
              <w:rPr>
                <w:rFonts w:ascii="Arial" w:cs="Arial" w:eastAsia="Arial" w:hAnsi="Arial"/>
                <w:color w:val="000719"/>
                <w:sz w:val="20"/>
                <w:szCs w:val="20"/>
              </w:rPr>
              <w:t xml:space="preserve">• UAE law permits cost-sharing carpooling (splitting fuel/running costs) without a transport licence</w:t>
            </w:r>
          </w:p>
          <w:p>
            <w:pPr>
              <w:spacing w:after="40" w:before="40"/>
            </w:pPr>
            <w:r>
              <w:rPr>
                <w:rFonts w:ascii="Arial" w:cs="Arial" w:eastAsia="Arial" w:hAnsi="Arial"/>
                <w:color w:val="000719"/>
                <w:sz w:val="20"/>
                <w:szCs w:val="20"/>
              </w:rPr>
              <w:t xml:space="preserve">• Profit-making paid rides require an RTA/ITC commercial licence and driver permits</w:t>
            </w:r>
          </w:p>
          <w:p>
            <w:pPr>
              <w:spacing w:after="40" w:before="40"/>
            </w:pPr>
            <w:r>
              <w:rPr>
                <w:rFonts w:ascii="Arial" w:cs="Arial" w:eastAsia="Arial" w:hAnsi="Arial"/>
                <w:color w:val="000719"/>
                <w:sz w:val="20"/>
                <w:szCs w:val="20"/>
              </w:rPr>
              <w:t xml:space="preserve">• PoolD launches as compliant cost-sharing — no ride commission, no profit to drivers</w:t>
            </w:r>
          </w:p>
          <w:p>
            <w:pPr>
              <w:spacing w:after="40" w:before="40"/>
            </w:pPr>
            <w:r>
              <w:rPr>
                <w:rFonts w:ascii="Arial" w:cs="Arial" w:eastAsia="Arial" w:hAnsi="Arial"/>
                <w:color w:val="000719"/>
                <w:sz w:val="20"/>
                <w:szCs w:val="20"/>
              </w:rPr>
              <w:t xml:space="preserve">• Commercial mode is a built-in switch, activated only once licensed or acquired</w:t>
            </w:r>
          </w:p>
          <w:p>
            <w:pPr>
              <w:spacing w:after="40" w:before="40"/>
            </w:pPr>
            <w:r>
              <w:rPr>
                <w:rFonts w:ascii="Arial" w:cs="Arial" w:eastAsia="Arial" w:hAnsi="Arial"/>
                <w:color w:val="000719"/>
                <w:sz w:val="20"/>
                <w:szCs w:val="20"/>
              </w:rPr>
              <w:t xml:space="preserve">• This makes PoolD a low-risk acquisition target: a buyer with a licence unlocks revenue instantly</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6.1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00" w:before="200"/>
            </w:pPr>
            <w:r>
              <w:rPr>
                <w:rFonts w:ascii="Arial" w:cs="Arial" w:eastAsia="Arial" w:hAnsi="Arial"/>
                <w:b/>
                <w:bCs/>
                <w:color w:val="000719"/>
                <w:sz w:val="22"/>
                <w:szCs w:val="22"/>
              </w:rPr>
              <w:t xml:space="preserve">Stage 1 — Compliant Launch</w:t>
            </w:r>
          </w:p>
          <w:p>
            <w:pPr>
              <w:pStyle w:val="ListParagraph"/>
              <w:numPr>
                <w:ilvl w:val="0"/>
                <w:numId w:val="2"/>
              </w:numPr>
              <w:spacing w:after="60" w:before="60"/>
            </w:pPr>
            <w:r>
              <w:rPr>
                <w:rFonts w:ascii="Arial" w:cs="Arial" w:eastAsia="Arial" w:hAnsi="Arial"/>
                <w:b w:val="false"/>
                <w:bCs w:val="false"/>
                <w:color w:val="000719"/>
                <w:sz w:val="22"/>
                <w:szCs w:val="22"/>
              </w:rPr>
              <w:t xml:space="preserve">Cost-sharing only: riders contribute to fuel + running costs, no profit</w:t>
            </w:r>
          </w:p>
          <w:p>
            <w:pPr>
              <w:pStyle w:val="ListParagraph"/>
              <w:numPr>
                <w:ilvl w:val="0"/>
                <w:numId w:val="2"/>
              </w:numPr>
              <w:spacing w:after="60" w:before="60"/>
            </w:pPr>
            <w:r>
              <w:rPr>
                <w:rFonts w:ascii="Arial" w:cs="Arial" w:eastAsia="Arial" w:hAnsi="Arial"/>
                <w:b w:val="false"/>
                <w:bCs w:val="false"/>
                <w:color w:val="000719"/>
                <w:sz w:val="22"/>
                <w:szCs w:val="22"/>
              </w:rPr>
              <w:t xml:space="preserve">PoolD ride commission: zero (stays within carpooling law)</w:t>
            </w:r>
          </w:p>
          <w:p>
            <w:pPr>
              <w:pStyle w:val="ListParagraph"/>
              <w:numPr>
                <w:ilvl w:val="0"/>
                <w:numId w:val="2"/>
              </w:numPr>
              <w:spacing w:after="60" w:before="60"/>
            </w:pPr>
            <w:r>
              <w:rPr>
                <w:rFonts w:ascii="Arial" w:cs="Arial" w:eastAsia="Arial" w:hAnsi="Arial"/>
                <w:b w:val="false"/>
                <w:bCs w:val="false"/>
                <w:color w:val="000719"/>
                <w:sz w:val="22"/>
                <w:szCs w:val="22"/>
              </w:rPr>
              <w:t xml:space="preserve">Revenue from subscriptions: AED 29/mo premium rider, AED 49/mo driver</w:t>
            </w:r>
          </w:p>
          <w:p>
            <w:pPr>
              <w:pStyle w:val="ListParagraph"/>
              <w:numPr>
                <w:ilvl w:val="0"/>
                <w:numId w:val="2"/>
              </w:numPr>
              <w:spacing w:after="60" w:before="60"/>
            </w:pPr>
            <w:r>
              <w:rPr>
                <w:rFonts w:ascii="Arial" w:cs="Arial" w:eastAsia="Arial" w:hAnsi="Arial"/>
                <w:b w:val="false"/>
                <w:bCs w:val="false"/>
                <w:color w:val="000719"/>
                <w:sz w:val="22"/>
                <w:szCs w:val="22"/>
              </w:rPr>
              <w:t xml:space="preserve">Premium = better matching, priority, verified badge, gender filters</w:t>
            </w:r>
          </w:p>
          <w:p>
            <w:pPr>
              <w:spacing w:after="120" w:before="0"/>
            </w:pPr>
            <w:r>
              <w:t xml:space="preserve"/>
            </w:r>
          </w:p>
          <w:p>
            <w:pPr>
              <w:spacing w:after="100" w:before="200"/>
            </w:pPr>
            <w:r>
              <w:rPr>
                <w:rFonts w:ascii="Arial" w:cs="Arial" w:eastAsia="Arial" w:hAnsi="Arial"/>
                <w:b/>
                <w:bCs/>
                <w:color w:val="000719"/>
                <w:sz w:val="22"/>
                <w:szCs w:val="22"/>
              </w:rPr>
              <w:t xml:space="preserve">Stage 1 — Enterprise SaaS</w:t>
            </w:r>
          </w:p>
          <w:p>
            <w:pPr>
              <w:pStyle w:val="ListParagraph"/>
              <w:numPr>
                <w:ilvl w:val="0"/>
                <w:numId w:val="2"/>
              </w:numPr>
              <w:spacing w:after="60" w:before="60"/>
            </w:pPr>
            <w:r>
              <w:rPr>
                <w:rFonts w:ascii="Arial" w:cs="Arial" w:eastAsia="Arial" w:hAnsi="Arial"/>
                <w:b w:val="false"/>
                <w:bCs w:val="false"/>
                <w:color w:val="000719"/>
                <w:sz w:val="22"/>
                <w:szCs w:val="22"/>
              </w:rPr>
              <w:t xml:space="preserve">B2B employee carpooling — fully legal, no transport licence needed</w:t>
            </w:r>
          </w:p>
          <w:p>
            <w:pPr>
              <w:pStyle w:val="ListParagraph"/>
              <w:numPr>
                <w:ilvl w:val="0"/>
                <w:numId w:val="2"/>
              </w:numPr>
              <w:spacing w:after="60" w:before="60"/>
            </w:pPr>
            <w:r>
              <w:rPr>
                <w:rFonts w:ascii="Arial" w:cs="Arial" w:eastAsia="Arial" w:hAnsi="Arial"/>
                <w:b w:val="false"/>
                <w:bCs w:val="false"/>
                <w:color w:val="000719"/>
                <w:sz w:val="22"/>
                <w:szCs w:val="22"/>
              </w:rPr>
              <w:t xml:space="preserve">Per-seat pricing: AED 25–60/employee/month</w:t>
            </w:r>
          </w:p>
          <w:p>
            <w:pPr>
              <w:pStyle w:val="ListParagraph"/>
              <w:numPr>
                <w:ilvl w:val="0"/>
                <w:numId w:val="2"/>
              </w:numPr>
              <w:spacing w:after="60" w:before="60"/>
            </w:pPr>
            <w:r>
              <w:rPr>
                <w:rFonts w:ascii="Arial" w:cs="Arial" w:eastAsia="Arial" w:hAnsi="Arial"/>
                <w:b w:val="false"/>
                <w:bCs w:val="false"/>
                <w:color w:val="000719"/>
                <w:sz w:val="22"/>
                <w:szCs w:val="22"/>
              </w:rPr>
              <w:t xml:space="preserve">Setup fee, custom reporting, HR-system API access</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00" w:before="200"/>
            </w:pPr>
            <w:r>
              <w:rPr>
                <w:rFonts w:ascii="Arial" w:cs="Arial" w:eastAsia="Arial" w:hAnsi="Arial"/>
                <w:b/>
                <w:bCs/>
                <w:color w:val="000719"/>
                <w:sz w:val="22"/>
                <w:szCs w:val="22"/>
              </w:rPr>
              <w:t xml:space="preserve">Stage 1 — Data &amp; Partnerships</w:t>
            </w:r>
          </w:p>
          <w:p>
            <w:pPr>
              <w:pStyle w:val="ListParagraph"/>
              <w:numPr>
                <w:ilvl w:val="0"/>
                <w:numId w:val="2"/>
              </w:numPr>
              <w:spacing w:after="60" w:before="60"/>
            </w:pPr>
            <w:r>
              <w:rPr>
                <w:rFonts w:ascii="Arial" w:cs="Arial" w:eastAsia="Arial" w:hAnsi="Arial"/>
                <w:b w:val="false"/>
                <w:bCs w:val="false"/>
                <w:color w:val="000719"/>
                <w:sz w:val="22"/>
                <w:szCs w:val="22"/>
              </w:rPr>
              <w:t xml:space="preserve">Anonymized commute-pattern data licensed to municipalities &amp; RTA</w:t>
            </w:r>
          </w:p>
          <w:p>
            <w:pPr>
              <w:pStyle w:val="ListParagraph"/>
              <w:numPr>
                <w:ilvl w:val="0"/>
                <w:numId w:val="2"/>
              </w:numPr>
              <w:spacing w:after="60" w:before="60"/>
            </w:pPr>
            <w:r>
              <w:rPr>
                <w:rFonts w:ascii="Arial" w:cs="Arial" w:eastAsia="Arial" w:hAnsi="Arial"/>
                <w:b w:val="false"/>
                <w:bCs w:val="false"/>
                <w:color w:val="000719"/>
                <w:sz w:val="22"/>
                <w:szCs w:val="22"/>
              </w:rPr>
              <w:t xml:space="preserve">Fuel, insurance &amp; car-service partner referrals</w:t>
            </w:r>
          </w:p>
          <w:p>
            <w:pPr>
              <w:pStyle w:val="ListParagraph"/>
              <w:numPr>
                <w:ilvl w:val="0"/>
                <w:numId w:val="2"/>
              </w:numPr>
              <w:spacing w:after="60" w:before="60"/>
            </w:pPr>
            <w:r>
              <w:rPr>
                <w:rFonts w:ascii="Arial" w:cs="Arial" w:eastAsia="Arial" w:hAnsi="Arial"/>
                <w:b w:val="false"/>
                <w:bCs w:val="false"/>
                <w:color w:val="000719"/>
                <w:sz w:val="22"/>
                <w:szCs w:val="22"/>
              </w:rPr>
              <w:t xml:space="preserve">Carbon-savings reporting for corporate ESG</w:t>
            </w:r>
          </w:p>
          <w:p>
            <w:pPr>
              <w:spacing w:after="120" w:before="0"/>
            </w:pPr>
            <w:r>
              <w:t xml:space="preserve"/>
            </w:r>
          </w:p>
          <w:p>
            <w:pPr>
              <w:spacing w:after="100" w:before="200"/>
            </w:pPr>
            <w:r>
              <w:rPr>
                <w:rFonts w:ascii="Arial" w:cs="Arial" w:eastAsia="Arial" w:hAnsi="Arial"/>
                <w:b/>
                <w:bCs/>
                <w:color w:val="000719"/>
                <w:sz w:val="22"/>
                <w:szCs w:val="22"/>
              </w:rPr>
              <w:t xml:space="preserve">Stage 2 — Commercial Mode (post-licence)</w:t>
            </w:r>
          </w:p>
          <w:p>
            <w:pPr>
              <w:pStyle w:val="ListParagraph"/>
              <w:numPr>
                <w:ilvl w:val="0"/>
                <w:numId w:val="2"/>
              </w:numPr>
              <w:spacing w:after="60" w:before="60"/>
            </w:pPr>
            <w:r>
              <w:rPr>
                <w:rFonts w:ascii="Arial" w:cs="Arial" w:eastAsia="Arial" w:hAnsi="Arial"/>
                <w:b w:val="false"/>
                <w:bCs w:val="false"/>
                <w:color w:val="000719"/>
                <w:sz w:val="22"/>
                <w:szCs w:val="22"/>
              </w:rPr>
              <w:t xml:space="preserve">Activated once licensed independently or via acquirer</w:t>
            </w:r>
          </w:p>
          <w:p>
            <w:pPr>
              <w:pStyle w:val="ListParagraph"/>
              <w:numPr>
                <w:ilvl w:val="0"/>
                <w:numId w:val="2"/>
              </w:numPr>
              <w:spacing w:after="60" w:before="60"/>
            </w:pPr>
            <w:r>
              <w:rPr>
                <w:rFonts w:ascii="Arial" w:cs="Arial" w:eastAsia="Arial" w:hAnsi="Arial"/>
                <w:b w:val="false"/>
                <w:bCs w:val="false"/>
                <w:color w:val="000719"/>
                <w:sz w:val="22"/>
                <w:szCs w:val="22"/>
              </w:rPr>
              <w:t xml:space="preserve">Commission on paid rides: 8–12% (the Careem-style model)</w:t>
            </w:r>
          </w:p>
          <w:p>
            <w:pPr>
              <w:pStyle w:val="ListParagraph"/>
              <w:numPr>
                <w:ilvl w:val="0"/>
                <w:numId w:val="2"/>
              </w:numPr>
              <w:spacing w:after="60" w:before="60"/>
            </w:pPr>
            <w:r>
              <w:rPr>
                <w:rFonts w:ascii="Arial" w:cs="Arial" w:eastAsia="Arial" w:hAnsi="Arial"/>
                <w:b w:val="false"/>
                <w:bCs w:val="false"/>
                <w:color w:val="000719"/>
                <w:sz w:val="22"/>
                <w:szCs w:val="22"/>
              </w:rPr>
              <w:t xml:space="preserve">Driver profit enabled, in-app payment processing switched on</w:t>
            </w:r>
          </w:p>
          <w:p>
            <w:pPr>
              <w:pStyle w:val="ListParagraph"/>
              <w:numPr>
                <w:ilvl w:val="0"/>
                <w:numId w:val="2"/>
              </w:numPr>
              <w:spacing w:after="60" w:before="60"/>
            </w:pPr>
            <w:r>
              <w:rPr>
                <w:rFonts w:ascii="Arial" w:cs="Arial" w:eastAsia="Arial" w:hAnsi="Arial"/>
                <w:b w:val="false"/>
                <w:bCs w:val="false"/>
                <w:color w:val="000719"/>
                <w:sz w:val="22"/>
                <w:szCs w:val="22"/>
              </w:rPr>
              <w:t xml:space="preserve">No rebuild required — already in the product architecture</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6.2  Unit Economics (Projected)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AF4F9"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Stage 1 Projections — Year 1 UAE (Compliant Model)</w:t>
            </w:r>
          </w:p>
          <w:p>
            <w:pPr>
              <w:spacing w:after="40" w:before="40"/>
            </w:pPr>
            <w:r>
              <w:rPr>
                <w:rFonts w:ascii="Arial" w:cs="Arial" w:eastAsia="Arial" w:hAnsi="Arial"/>
                <w:color w:val="000719"/>
                <w:sz w:val="20"/>
                <w:szCs w:val="20"/>
              </w:rPr>
              <w:t xml:space="preserve">• Target: 10,000 active monthly users by Month 12</w:t>
            </w:r>
          </w:p>
          <w:p>
            <w:pPr>
              <w:spacing w:after="40" w:before="40"/>
            </w:pPr>
            <w:r>
              <w:rPr>
                <w:rFonts w:ascii="Arial" w:cs="Arial" w:eastAsia="Arial" w:hAnsi="Arial"/>
                <w:color w:val="000719"/>
                <w:sz w:val="20"/>
                <w:szCs w:val="20"/>
              </w:rPr>
              <w:t xml:space="preserve">• Premium subscribers: 8% conversion × 10,000 = 800 × avg AED 35/mo = AED 336K/yr</w:t>
            </w:r>
          </w:p>
          <w:p>
            <w:pPr>
              <w:spacing w:after="40" w:before="40"/>
            </w:pPr>
            <w:r>
              <w:rPr>
                <w:rFonts w:ascii="Arial" w:cs="Arial" w:eastAsia="Arial" w:hAnsi="Arial"/>
                <w:color w:val="000719"/>
                <w:sz w:val="20"/>
                <w:szCs w:val="20"/>
              </w:rPr>
              <w:t xml:space="preserve">• Enterprise: 5 pilot companies × 200 employees × AED 40/seat = AED 480K ARR</w:t>
            </w:r>
          </w:p>
          <w:p>
            <w:pPr>
              <w:spacing w:after="40" w:before="40"/>
            </w:pPr>
            <w:r>
              <w:rPr>
                <w:rFonts w:ascii="Arial" w:cs="Arial" w:eastAsia="Arial" w:hAnsi="Arial"/>
                <w:color w:val="000719"/>
                <w:sz w:val="20"/>
                <w:szCs w:val="20"/>
              </w:rPr>
              <w:t xml:space="preserve">• Data &amp; partnership revenue (conservative): AED 150K/yr</w:t>
            </w:r>
          </w:p>
          <w:p>
            <w:pPr>
              <w:spacing w:after="40" w:before="40"/>
            </w:pPr>
            <w:r>
              <w:rPr>
                <w:rFonts w:ascii="Arial" w:cs="Arial" w:eastAsia="Arial" w:hAnsi="Arial"/>
                <w:color w:val="000719"/>
                <w:sz w:val="20"/>
                <w:szCs w:val="20"/>
              </w:rPr>
              <w:t xml:space="preserve">• Stage 1 Combined ARR (no ride commission): ~AED 966K (~$263K USD)</w:t>
            </w:r>
          </w:p>
          <w:p>
            <w:pPr>
              <w:spacing w:after="40" w:before="40"/>
            </w:pPr>
            <w:r>
              <w:rPr>
                <w:rFonts w:ascii="Arial" w:cs="Arial" w:eastAsia="Arial" w:hAnsi="Arial"/>
                <w:color w:val="000719"/>
                <w:sz w:val="20"/>
                <w:szCs w:val="20"/>
              </w:rPr>
              <w:t xml:space="preserve">• Stage 2 upside (post-licence): ride commission on 1.4M+ rides/yr unlocks AED 2M+ additional</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7.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Phase</w:t>
            </w:r>
          </w:p>
        </w:tc>
        <w:tc>
          <w:tcPr>
            <w:tcW w:type="dxa" w:w="792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r>
      <w:tr>
        <w:tc>
          <w:tcPr>
            <w:tcW w:type="dxa" w:w="1440"/>
            <w:tcBorders>
              <w:top w:val="single" w:color="E2E8F0" w:sz="1"/>
              <w:left w:val="single" w:color="E2E8F0" w:sz="1"/>
              <w:bottom w:val="single" w:color="E2E8F0" w:sz="1"/>
              <w:right w:val="single" w:color="E2E8F0" w:sz="1"/>
            </w:tcBorders>
            <w:shd w:fill="04D6BF"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MVP
Wk 1–8</w:t>
            </w:r>
          </w:p>
          <w:p>
            <w:pPr>
              <w:jc w:val="center"/>
            </w:pPr>
            <w:r>
              <w:rPr>
                <w:rFonts w:ascii="Arial" w:cs="Arial" w:eastAsia="Arial" w:hAnsi="Arial"/>
                <w:color w:val="FFFFFF"/>
                <w:sz w:val="18"/>
                <w:szCs w:val="18"/>
              </w:rPr>
              <w:t xml:space="preserve">Foundation</w:t>
            </w:r>
          </w:p>
        </w:tc>
        <w:tc>
          <w:tcPr>
            <w:tcW w:type="dxa" w:w="7920"/>
            <w:tcBorders>
              <w:top w:val="single" w:color="E2E8F0" w:sz="1"/>
              <w:left w:val="single" w:color="E2E8F0" w:sz="1"/>
              <w:bottom w:val="single" w:color="E2E8F0" w:sz="1"/>
              <w:right w:val="single" w:color="E2E8F0" w:sz="1"/>
            </w:tcBorders>
            <w:tcMar>
              <w:top w:type="dxa" w:w="120"/>
              <w:left w:type="dxa" w:w="160"/>
              <w:bottom w:type="dxa" w:w="120"/>
              <w:right w:type="dxa" w:w="160"/>
            </w:tcMar>
          </w:tcPr>
          <w:p>
            <w:pPr>
              <w:spacing w:after="40" w:before="40"/>
            </w:pPr>
            <w:r>
              <w:rPr>
                <w:rFonts w:ascii="Arial" w:cs="Arial" w:eastAsia="Arial" w:hAnsi="Arial"/>
                <w:color w:val="000719"/>
                <w:sz w:val="20"/>
                <w:szCs w:val="20"/>
              </w:rPr>
              <w:t xml:space="preserve">• Environment setup — GitHub, Supabase, Expo, Codespaces</w:t>
            </w:r>
          </w:p>
          <w:p>
            <w:pPr>
              <w:spacing w:after="40" w:before="40"/>
            </w:pPr>
            <w:r>
              <w:rPr>
                <w:rFonts w:ascii="Arial" w:cs="Arial" w:eastAsia="Arial" w:hAnsi="Arial"/>
                <w:color w:val="000719"/>
                <w:sz w:val="20"/>
                <w:szCs w:val="20"/>
              </w:rPr>
              <w:t xml:space="preserve">• Phone OTP authentication (Firebase — all GCC numbers)</w:t>
            </w:r>
          </w:p>
          <w:p>
            <w:pPr>
              <w:spacing w:after="40" w:before="40"/>
            </w:pPr>
            <w:r>
              <w:rPr>
                <w:rFonts w:ascii="Arial" w:cs="Arial" w:eastAsia="Arial" w:hAnsi="Arial"/>
                <w:color w:val="000719"/>
                <w:sz w:val="20"/>
                <w:szCs w:val="20"/>
              </w:rPr>
              <w:t xml:space="preserve">• Driver and Rider profile creation with verification</w:t>
            </w:r>
          </w:p>
          <w:p>
            <w:pPr>
              <w:spacing w:after="40" w:before="40"/>
            </w:pPr>
            <w:r>
              <w:rPr>
                <w:rFonts w:ascii="Arial" w:cs="Arial" w:eastAsia="Arial" w:hAnsi="Arial"/>
                <w:color w:val="000719"/>
                <w:sz w:val="20"/>
                <w:szCs w:val="20"/>
              </w:rPr>
              <w:t xml:space="preserve">• Ride posting — origin, destination, seats, price, schedule</w:t>
            </w:r>
          </w:p>
          <w:p>
            <w:pPr>
              <w:spacing w:after="40" w:before="40"/>
            </w:pPr>
            <w:r>
              <w:rPr>
                <w:rFonts w:ascii="Arial" w:cs="Arial" w:eastAsia="Arial" w:hAnsi="Arial"/>
                <w:color w:val="000719"/>
                <w:sz w:val="20"/>
                <w:szCs w:val="20"/>
              </w:rPr>
              <w:t xml:space="preserve">• Ride search &amp; matching algorithm</w:t>
            </w:r>
          </w:p>
          <w:p>
            <w:pPr>
              <w:spacing w:after="40" w:before="40"/>
            </w:pPr>
            <w:r>
              <w:rPr>
                <w:rFonts w:ascii="Arial" w:cs="Arial" w:eastAsia="Arial" w:hAnsi="Arial"/>
                <w:color w:val="000719"/>
                <w:sz w:val="20"/>
                <w:szCs w:val="20"/>
              </w:rPr>
              <w:t xml:space="preserve">• Google Maps integration — route preview</w:t>
            </w:r>
          </w:p>
          <w:p>
            <w:pPr>
              <w:spacing w:after="40" w:before="40"/>
            </w:pPr>
            <w:r>
              <w:rPr>
                <w:rFonts w:ascii="Arial" w:cs="Arial" w:eastAsia="Arial" w:hAnsi="Arial"/>
                <w:color w:val="000719"/>
                <w:sz w:val="20"/>
                <w:szCs w:val="20"/>
              </w:rPr>
              <w:t xml:space="preserve">• In-app messaging between driver and rider</w:t>
            </w:r>
          </w:p>
          <w:p>
            <w:pPr>
              <w:spacing w:after="40" w:before="40"/>
            </w:pPr>
            <w:r>
              <w:rPr>
                <w:rFonts w:ascii="Arial" w:cs="Arial" w:eastAsia="Arial" w:hAnsi="Arial"/>
                <w:color w:val="000719"/>
                <w:sz w:val="20"/>
                <w:szCs w:val="20"/>
              </w:rPr>
              <w:t xml:space="preserve">• Star ratings &amp; trust score after trip completion</w:t>
            </w:r>
          </w:p>
          <w:p>
            <w:pPr>
              <w:spacing w:after="40" w:before="40"/>
            </w:pPr>
            <w:r>
              <w:rPr>
                <w:rFonts w:ascii="Arial" w:cs="Arial" w:eastAsia="Arial" w:hAnsi="Arial"/>
                <w:color w:val="000719"/>
                <w:sz w:val="20"/>
                <w:szCs w:val="20"/>
              </w:rPr>
              <w:t xml:space="preserve">• Cash payment flow</w:t>
            </w:r>
          </w:p>
        </w:tc>
      </w:tr>
      <w:tr>
        <w:tc>
          <w:tcPr>
            <w:tcW w:type="dxa" w:w="1440"/>
            <w:tcBorders>
              <w:top w:val="single" w:color="E2E8F0" w:sz="1"/>
              <w:left w:val="single" w:color="E2E8F0" w:sz="1"/>
              <w:bottom w:val="single" w:color="E2E8F0" w:sz="1"/>
              <w:right w:val="single" w:color="E2E8F0" w:sz="1"/>
            </w:tcBorders>
            <w:shd w:fill="016CE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V1.1
Mo 3–4</w:t>
            </w:r>
          </w:p>
          <w:p>
            <w:pPr>
              <w:jc w:val="center"/>
            </w:pPr>
            <w:r>
              <w:rPr>
                <w:rFonts w:ascii="Arial" w:cs="Arial" w:eastAsia="Arial" w:hAnsi="Arial"/>
                <w:color w:val="FFFFFF"/>
                <w:sz w:val="18"/>
                <w:szCs w:val="18"/>
              </w:rPr>
              <w:t xml:space="preserve">Experience</w:t>
            </w:r>
          </w:p>
        </w:tc>
        <w:tc>
          <w:tcPr>
            <w:tcW w:type="dxa" w:w="7920"/>
            <w:tcBorders>
              <w:top w:val="single" w:color="E2E8F0" w:sz="1"/>
              <w:left w:val="single" w:color="E2E8F0" w:sz="1"/>
              <w:bottom w:val="single" w:color="E2E8F0" w:sz="1"/>
              <w:right w:val="single" w:color="E2E8F0" w:sz="1"/>
            </w:tcBorders>
            <w:tcMar>
              <w:top w:type="dxa" w:w="120"/>
              <w:left w:type="dxa" w:w="160"/>
              <w:bottom w:type="dxa" w:w="120"/>
              <w:right w:type="dxa" w:w="160"/>
            </w:tcMar>
          </w:tcPr>
          <w:p>
            <w:pPr>
              <w:spacing w:after="40" w:before="40"/>
            </w:pPr>
            <w:r>
              <w:rPr>
                <w:rFonts w:ascii="Arial" w:cs="Arial" w:eastAsia="Arial" w:hAnsi="Arial"/>
                <w:color w:val="000719"/>
                <w:sz w:val="20"/>
                <w:szCs w:val="20"/>
              </w:rPr>
              <w:t xml:space="preserve">• Push notifications (Expo Notifications)</w:t>
            </w:r>
          </w:p>
          <w:p>
            <w:pPr>
              <w:spacing w:after="40" w:before="40"/>
            </w:pPr>
            <w:r>
              <w:rPr>
                <w:rFonts w:ascii="Arial" w:cs="Arial" w:eastAsia="Arial" w:hAnsi="Arial"/>
                <w:color w:val="000719"/>
                <w:sz w:val="20"/>
                <w:szCs w:val="20"/>
              </w:rPr>
              <w:t xml:space="preserve">• Recurring ride scheduling</w:t>
            </w:r>
          </w:p>
          <w:p>
            <w:pPr>
              <w:spacing w:after="40" w:before="40"/>
            </w:pPr>
            <w:r>
              <w:rPr>
                <w:rFonts w:ascii="Arial" w:cs="Arial" w:eastAsia="Arial" w:hAnsi="Arial"/>
                <w:color w:val="000719"/>
                <w:sz w:val="20"/>
                <w:szCs w:val="20"/>
              </w:rPr>
              <w:t xml:space="preserve">• Gender preference settings</w:t>
            </w:r>
          </w:p>
          <w:p>
            <w:pPr>
              <w:spacing w:after="40" w:before="40"/>
            </w:pPr>
            <w:r>
              <w:rPr>
                <w:rFonts w:ascii="Arial" w:cs="Arial" w:eastAsia="Arial" w:hAnsi="Arial"/>
                <w:color w:val="000719"/>
                <w:sz w:val="20"/>
                <w:szCs w:val="20"/>
              </w:rPr>
              <w:t xml:space="preserve">• Emergency contact &amp; live ride sharing</w:t>
            </w:r>
          </w:p>
          <w:p>
            <w:pPr>
              <w:spacing w:after="40" w:before="40"/>
            </w:pPr>
            <w:r>
              <w:rPr>
                <w:rFonts w:ascii="Arial" w:cs="Arial" w:eastAsia="Arial" w:hAnsi="Arial"/>
                <w:color w:val="000719"/>
                <w:sz w:val="20"/>
                <w:szCs w:val="20"/>
              </w:rPr>
              <w:t xml:space="preserve">• Carbon savings calculator</w:t>
            </w:r>
          </w:p>
          <w:p>
            <w:pPr>
              <w:spacing w:after="40" w:before="40"/>
            </w:pPr>
            <w:r>
              <w:rPr>
                <w:rFonts w:ascii="Arial" w:cs="Arial" w:eastAsia="Arial" w:hAnsi="Arial"/>
                <w:color w:val="000719"/>
                <w:sz w:val="20"/>
                <w:szCs w:val="20"/>
              </w:rPr>
              <w:t xml:space="preserve">• Referral system — invite friends</w:t>
            </w:r>
          </w:p>
          <w:p>
            <w:pPr>
              <w:spacing w:after="40" w:before="40"/>
            </w:pPr>
            <w:r>
              <w:rPr>
                <w:rFonts w:ascii="Arial" w:cs="Arial" w:eastAsia="Arial" w:hAnsi="Arial"/>
                <w:color w:val="000719"/>
                <w:sz w:val="20"/>
                <w:szCs w:val="20"/>
              </w:rPr>
              <w:t xml:space="preserve">• Arabic RTL full support</w:t>
            </w:r>
          </w:p>
          <w:p>
            <w:pPr>
              <w:spacing w:after="40" w:before="40"/>
            </w:pPr>
            <w:r>
              <w:rPr>
                <w:rFonts w:ascii="Arial" w:cs="Arial" w:eastAsia="Arial" w:hAnsi="Arial"/>
                <w:color w:val="000719"/>
                <w:sz w:val="20"/>
                <w:szCs w:val="20"/>
              </w:rPr>
              <w:t xml:space="preserve">• App Store &amp; Google Play submission</w:t>
            </w:r>
          </w:p>
        </w:tc>
      </w:tr>
      <w:tr>
        <w:tc>
          <w:tcPr>
            <w:tcW w:type="dxa" w:w="1440"/>
            <w:tcBorders>
              <w:top w:val="single" w:color="E2E8F0" w:sz="1"/>
              <w:left w:val="single" w:color="E2E8F0" w:sz="1"/>
              <w:bottom w:val="single" w:color="E2E8F0" w:sz="1"/>
              <w:right w:val="single" w:color="E2E8F0" w:sz="1"/>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V1.2
Mo 5–6</w:t>
            </w:r>
          </w:p>
          <w:p>
            <w:pPr>
              <w:jc w:val="center"/>
            </w:pPr>
            <w:r>
              <w:rPr>
                <w:rFonts w:ascii="Arial" w:cs="Arial" w:eastAsia="Arial" w:hAnsi="Arial"/>
                <w:color w:val="FFFFFF"/>
                <w:sz w:val="18"/>
                <w:szCs w:val="18"/>
              </w:rPr>
              <w:t xml:space="preserve">Payments</w:t>
            </w:r>
          </w:p>
        </w:tc>
        <w:tc>
          <w:tcPr>
            <w:tcW w:type="dxa" w:w="7920"/>
            <w:tcBorders>
              <w:top w:val="single" w:color="E2E8F0" w:sz="1"/>
              <w:left w:val="single" w:color="E2E8F0" w:sz="1"/>
              <w:bottom w:val="single" w:color="E2E8F0" w:sz="1"/>
              <w:right w:val="single" w:color="E2E8F0" w:sz="1"/>
            </w:tcBorders>
            <w:tcMar>
              <w:top w:type="dxa" w:w="120"/>
              <w:left w:type="dxa" w:w="160"/>
              <w:bottom w:type="dxa" w:w="120"/>
              <w:right w:type="dxa" w:w="160"/>
            </w:tcMar>
          </w:tcPr>
          <w:p>
            <w:pPr>
              <w:spacing w:after="40" w:before="40"/>
            </w:pPr>
            <w:r>
              <w:rPr>
                <w:rFonts w:ascii="Arial" w:cs="Arial" w:eastAsia="Arial" w:hAnsi="Arial"/>
                <w:color w:val="000719"/>
                <w:sz w:val="20"/>
                <w:szCs w:val="20"/>
              </w:rPr>
              <w:t xml:space="preserve">• Stripe integration — AED digital payments</w:t>
            </w:r>
          </w:p>
          <w:p>
            <w:pPr>
              <w:spacing w:after="40" w:before="40"/>
            </w:pPr>
            <w:r>
              <w:rPr>
                <w:rFonts w:ascii="Arial" w:cs="Arial" w:eastAsia="Arial" w:hAnsi="Arial"/>
                <w:color w:val="000719"/>
                <w:sz w:val="20"/>
                <w:szCs w:val="20"/>
              </w:rPr>
              <w:t xml:space="preserve">• In-app wallet top-up</w:t>
            </w:r>
          </w:p>
          <w:p>
            <w:pPr>
              <w:spacing w:after="40" w:before="40"/>
            </w:pPr>
            <w:r>
              <w:rPr>
                <w:rFonts w:ascii="Arial" w:cs="Arial" w:eastAsia="Arial" w:hAnsi="Arial"/>
                <w:color w:val="000719"/>
                <w:sz w:val="20"/>
                <w:szCs w:val="20"/>
              </w:rPr>
              <w:t xml:space="preserve">• Transaction history &amp; downloadable receipts</w:t>
            </w:r>
          </w:p>
          <w:p>
            <w:pPr>
              <w:spacing w:after="40" w:before="40"/>
            </w:pPr>
            <w:r>
              <w:rPr>
                <w:rFonts w:ascii="Arial" w:cs="Arial" w:eastAsia="Arial" w:hAnsi="Arial"/>
                <w:color w:val="000719"/>
                <w:sz w:val="20"/>
                <w:szCs w:val="20"/>
              </w:rPr>
              <w:t xml:space="preserve">• Driver payout system</w:t>
            </w:r>
          </w:p>
          <w:p>
            <w:pPr>
              <w:spacing w:after="40" w:before="40"/>
            </w:pPr>
            <w:r>
              <w:rPr>
                <w:rFonts w:ascii="Arial" w:cs="Arial" w:eastAsia="Arial" w:hAnsi="Arial"/>
                <w:color w:val="000719"/>
                <w:sz w:val="20"/>
                <w:szCs w:val="20"/>
              </w:rPr>
              <w:t xml:space="preserve">• UAE VAT compliance on transactions</w:t>
            </w:r>
          </w:p>
        </w:tc>
      </w:tr>
      <w:tr>
        <w:tc>
          <w:tcPr>
            <w:tcW w:type="dxa" w:w="1440"/>
            <w:tcBorders>
              <w:top w:val="single" w:color="E2E8F0" w:sz="1"/>
              <w:left w:val="single" w:color="E2E8F0" w:sz="1"/>
              <w:bottom w:val="single" w:color="E2E8F0" w:sz="1"/>
              <w:right w:val="single" w:color="E2E8F0" w:sz="1"/>
            </w:tcBorders>
            <w:shd w:fill="F59E0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V2.0
Mo 7–9</w:t>
            </w:r>
          </w:p>
          <w:p>
            <w:pPr>
              <w:jc w:val="center"/>
            </w:pPr>
            <w:r>
              <w:rPr>
                <w:rFonts w:ascii="Arial" w:cs="Arial" w:eastAsia="Arial" w:hAnsi="Arial"/>
                <w:color w:val="FFFFFF"/>
                <w:sz w:val="18"/>
                <w:szCs w:val="18"/>
              </w:rPr>
              <w:t xml:space="preserve">Enterprise</w:t>
            </w:r>
          </w:p>
        </w:tc>
        <w:tc>
          <w:tcPr>
            <w:tcW w:type="dxa" w:w="7920"/>
            <w:tcBorders>
              <w:top w:val="single" w:color="E2E8F0" w:sz="1"/>
              <w:left w:val="single" w:color="E2E8F0" w:sz="1"/>
              <w:bottom w:val="single" w:color="E2E8F0" w:sz="1"/>
              <w:right w:val="single" w:color="E2E8F0" w:sz="1"/>
            </w:tcBorders>
            <w:tcMar>
              <w:top w:type="dxa" w:w="120"/>
              <w:left w:type="dxa" w:w="160"/>
              <w:bottom w:type="dxa" w:w="120"/>
              <w:right w:type="dxa" w:w="160"/>
            </w:tcMar>
          </w:tcPr>
          <w:p>
            <w:pPr>
              <w:spacing w:after="40" w:before="40"/>
            </w:pPr>
            <w:r>
              <w:rPr>
                <w:rFonts w:ascii="Arial" w:cs="Arial" w:eastAsia="Arial" w:hAnsi="Arial"/>
                <w:color w:val="000719"/>
                <w:sz w:val="20"/>
                <w:szCs w:val="20"/>
              </w:rPr>
              <w:t xml:space="preserve">• Company admin dashboard</w:t>
            </w:r>
          </w:p>
          <w:p>
            <w:pPr>
              <w:spacing w:after="40" w:before="40"/>
            </w:pPr>
            <w:r>
              <w:rPr>
                <w:rFonts w:ascii="Arial" w:cs="Arial" w:eastAsia="Arial" w:hAnsi="Arial"/>
                <w:color w:val="000719"/>
                <w:sz w:val="20"/>
                <w:szCs w:val="20"/>
              </w:rPr>
              <w:t xml:space="preserve">• Employee carpooling management</w:t>
            </w:r>
          </w:p>
          <w:p>
            <w:pPr>
              <w:spacing w:after="40" w:before="40"/>
            </w:pPr>
            <w:r>
              <w:rPr>
                <w:rFonts w:ascii="Arial" w:cs="Arial" w:eastAsia="Arial" w:hAnsi="Arial"/>
                <w:color w:val="000719"/>
                <w:sz w:val="20"/>
                <w:szCs w:val="20"/>
              </w:rPr>
              <w:t xml:space="preserve">• Carbon &amp; cost reporting for ESG</w:t>
            </w:r>
          </w:p>
          <w:p>
            <w:pPr>
              <w:spacing w:after="40" w:before="40"/>
            </w:pPr>
            <w:r>
              <w:rPr>
                <w:rFonts w:ascii="Arial" w:cs="Arial" w:eastAsia="Arial" w:hAnsi="Arial"/>
                <w:color w:val="000719"/>
                <w:sz w:val="20"/>
                <w:szCs w:val="20"/>
              </w:rPr>
              <w:t xml:space="preserve">• Corporate billing &amp; invoicing</w:t>
            </w:r>
          </w:p>
          <w:p>
            <w:pPr>
              <w:spacing w:after="40" w:before="40"/>
            </w:pPr>
            <w:r>
              <w:rPr>
                <w:rFonts w:ascii="Arial" w:cs="Arial" w:eastAsia="Arial" w:hAnsi="Arial"/>
                <w:color w:val="000719"/>
                <w:sz w:val="20"/>
                <w:szCs w:val="20"/>
              </w:rPr>
              <w:t xml:space="preserve">• White-label option for strategic buyers</w:t>
            </w:r>
          </w:p>
        </w:tc>
      </w:tr>
      <w:tr>
        <w:tc>
          <w:tcPr>
            <w:tcW w:type="dxa" w:w="1440"/>
            <w:tcBorders>
              <w:top w:val="single" w:color="E2E8F0" w:sz="1"/>
              <w:left w:val="single" w:color="E2E8F0" w:sz="1"/>
              <w:bottom w:val="single" w:color="E2E8F0" w:sz="1"/>
              <w:right w:val="single" w:color="E2E8F0" w:sz="1"/>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V3.0
Mo 10–12</w:t>
            </w:r>
          </w:p>
          <w:p>
            <w:pPr>
              <w:jc w:val="center"/>
            </w:pPr>
            <w:r>
              <w:rPr>
                <w:rFonts w:ascii="Arial" w:cs="Arial" w:eastAsia="Arial" w:hAnsi="Arial"/>
                <w:color w:val="FFFFFF"/>
                <w:sz w:val="18"/>
                <w:szCs w:val="18"/>
              </w:rPr>
              <w:t xml:space="preserve">GCC Scale</w:t>
            </w:r>
          </w:p>
        </w:tc>
        <w:tc>
          <w:tcPr>
            <w:tcW w:type="dxa" w:w="7920"/>
            <w:tcBorders>
              <w:top w:val="single" w:color="E2E8F0" w:sz="1"/>
              <w:left w:val="single" w:color="E2E8F0" w:sz="1"/>
              <w:bottom w:val="single" w:color="E2E8F0" w:sz="1"/>
              <w:right w:val="single" w:color="E2E8F0" w:sz="1"/>
            </w:tcBorders>
            <w:tcMar>
              <w:top w:type="dxa" w:w="120"/>
              <w:left w:type="dxa" w:w="160"/>
              <w:bottom w:type="dxa" w:w="120"/>
              <w:right w:type="dxa" w:w="160"/>
            </w:tcMar>
          </w:tcPr>
          <w:p>
            <w:pPr>
              <w:spacing w:after="40" w:before="40"/>
            </w:pPr>
            <w:r>
              <w:rPr>
                <w:rFonts w:ascii="Arial" w:cs="Arial" w:eastAsia="Arial" w:hAnsi="Arial"/>
                <w:color w:val="000719"/>
                <w:sz w:val="20"/>
                <w:szCs w:val="20"/>
              </w:rPr>
              <w:t xml:space="preserve">• Saudi Arabia launch (+966 OTP, SAR currency)</w:t>
            </w:r>
          </w:p>
          <w:p>
            <w:pPr>
              <w:spacing w:after="40" w:before="40"/>
            </w:pPr>
            <w:r>
              <w:rPr>
                <w:rFonts w:ascii="Arial" w:cs="Arial" w:eastAsia="Arial" w:hAnsi="Arial"/>
                <w:color w:val="000719"/>
                <w:sz w:val="20"/>
                <w:szCs w:val="20"/>
              </w:rPr>
              <w:t xml:space="preserve">• Qatar launch (+974 OTP, QAR currency)</w:t>
            </w:r>
          </w:p>
          <w:p>
            <w:pPr>
              <w:spacing w:after="40" w:before="40"/>
            </w:pPr>
            <w:r>
              <w:rPr>
                <w:rFonts w:ascii="Arial" w:cs="Arial" w:eastAsia="Arial" w:hAnsi="Arial"/>
                <w:color w:val="000719"/>
                <w:sz w:val="20"/>
                <w:szCs w:val="20"/>
              </w:rPr>
              <w:t xml:space="preserve">• Multi-language localizations</w:t>
            </w:r>
          </w:p>
          <w:p>
            <w:pPr>
              <w:spacing w:after="40" w:before="40"/>
            </w:pPr>
            <w:r>
              <w:rPr>
                <w:rFonts w:ascii="Arial" w:cs="Arial" w:eastAsia="Arial" w:hAnsi="Arial"/>
                <w:color w:val="000719"/>
                <w:sz w:val="20"/>
                <w:szCs w:val="20"/>
              </w:rPr>
              <w:t xml:space="preserve">• Regional payment methods (STC Pay, KNET)</w:t>
            </w:r>
          </w:p>
          <w:p>
            <w:pPr>
              <w:spacing w:after="40" w:before="40"/>
            </w:pPr>
            <w:r>
              <w:rPr>
                <w:rFonts w:ascii="Arial" w:cs="Arial" w:eastAsia="Arial" w:hAnsi="Arial"/>
                <w:color w:val="000719"/>
                <w:sz w:val="20"/>
                <w:szCs w:val="20"/>
              </w:rPr>
              <w:t xml:space="preserve">• Cross-border ride matching (e.g. Dubai–Sharjah)</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8. Strategic Acquisition Thesis</w:t>
      </w:r>
    </w:p>
    <w:p>
      <w:pPr>
        <w:spacing w:after="80" w:before="80"/>
      </w:pPr>
      <w:r>
        <w:rPr>
          <w:rFonts w:ascii="Arial" w:cs="Arial" w:eastAsia="Arial" w:hAnsi="Arial"/>
          <w:color w:val="000719"/>
          <w:sz w:val="22"/>
          <w:szCs w:val="22"/>
        </w:rPr>
        <w:t xml:space="preserve">PoolD is designed from the ground up to be an attractive acquisition target. Every architectural and product decision considers the due diligence criteria of regional mobility companies, government transport authorities, and technology conglomerates.</w:t>
      </w:r>
    </w:p>
    <w:p>
      <w:pPr>
        <w:spacing w:after="120" w:before="0"/>
      </w:pPr>
      <w:r>
        <w:t xml:space="preserve"/>
      </w:r>
    </w:p>
    <w:p>
      <w:pPr>
        <w:pStyle w:val="Heading2"/>
        <w:spacing w:after="160" w:before="300"/>
      </w:pPr>
      <w:r>
        <w:rPr>
          <w:rFonts w:ascii="Arial" w:cs="Arial" w:eastAsia="Arial" w:hAnsi="Arial"/>
          <w:b/>
          <w:bCs/>
          <w:color w:val="016CEB"/>
          <w:sz w:val="26"/>
          <w:szCs w:val="26"/>
        </w:rPr>
        <w:t xml:space="preserve">8.1  Target Acquirers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00719" w:val="clear"/>
            <w:tcMar>
              <w:top w:type="dxa" w:w="100"/>
              <w:left w:type="dxa" w:w="160"/>
              <w:bottom w:type="dxa" w:w="100"/>
              <w:right w:type="dxa" w:w="160"/>
            </w:tcMar>
          </w:tcPr>
          <w:p>
            <w:r>
              <w:rPr>
                <w:rFonts w:ascii="Arial" w:cs="Arial" w:eastAsia="Arial" w:hAnsi="Arial"/>
                <w:b/>
                <w:bCs/>
                <w:color w:val="FFFFFF"/>
                <w:sz w:val="20"/>
                <w:szCs w:val="20"/>
              </w:rPr>
              <w:t xml:space="preserve">Acquirer</w:t>
            </w:r>
          </w:p>
        </w:tc>
        <w:tc>
          <w:tcPr>
            <w:tcW w:type="dxa" w:w="3510"/>
            <w:tcBorders>
              <w:top w:val="single" w:color="E2E8F0" w:sz="1"/>
              <w:left w:val="single" w:color="E2E8F0" w:sz="1"/>
              <w:bottom w:val="single" w:color="E2E8F0" w:sz="1"/>
              <w:right w:val="single" w:color="E2E8F0" w:sz="1"/>
            </w:tcBorders>
            <w:shd w:fill="000719" w:val="clear"/>
            <w:tcMar>
              <w:top w:type="dxa" w:w="100"/>
              <w:left w:type="dxa" w:w="160"/>
              <w:bottom w:type="dxa" w:w="100"/>
              <w:right w:type="dxa" w:w="160"/>
            </w:tcMar>
          </w:tcPr>
          <w:p>
            <w:r>
              <w:rPr>
                <w:rFonts w:ascii="Arial" w:cs="Arial" w:eastAsia="Arial" w:hAnsi="Arial"/>
                <w:b/>
                <w:bCs/>
                <w:color w:val="FFFFFF"/>
                <w:sz w:val="20"/>
                <w:szCs w:val="20"/>
              </w:rPr>
              <w:t xml:space="preserve">Strategic Interest</w:t>
            </w:r>
          </w:p>
        </w:tc>
        <w:tc>
          <w:tcPr>
            <w:tcW w:type="dxa" w:w="3510"/>
            <w:tcBorders>
              <w:top w:val="single" w:color="E2E8F0" w:sz="1"/>
              <w:left w:val="single" w:color="E2E8F0" w:sz="1"/>
              <w:bottom w:val="single" w:color="E2E8F0" w:sz="1"/>
              <w:right w:val="single" w:color="E2E8F0" w:sz="1"/>
            </w:tcBorders>
            <w:shd w:fill="000719" w:val="clear"/>
            <w:tcMar>
              <w:top w:type="dxa" w:w="100"/>
              <w:left w:type="dxa" w:w="160"/>
              <w:bottom w:type="dxa" w:w="100"/>
              <w:right w:type="dxa" w:w="160"/>
            </w:tcMar>
          </w:tcPr>
          <w:p>
            <w:r>
              <w:rPr>
                <w:rFonts w:ascii="Arial" w:cs="Arial" w:eastAsia="Arial" w:hAnsi="Arial"/>
                <w:b/>
                <w:bCs/>
                <w:color w:val="FFFFFF"/>
                <w:sz w:val="20"/>
                <w:szCs w:val="20"/>
              </w:rPr>
              <w:t xml:space="preserve">What PoolD Provides</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Careem (Uber)</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Expand to carpooling — missing from super-app</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GCC carpooling user base, matching tech, brand</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19"/>
                <w:szCs w:val="19"/>
              </w:rPr>
              <w:t xml:space="preserve">RTA Dubai</w:t>
            </w:r>
          </w:p>
        </w:tc>
        <w:tc>
          <w:tcPr>
            <w:tcW w:type="dxa" w:w="351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19"/>
                <w:szCs w:val="19"/>
              </w:rPr>
              <w:t xml:space="preserve">Reduce congestion, promote sustainable mobility</w:t>
            </w:r>
          </w:p>
        </w:tc>
        <w:tc>
          <w:tcPr>
            <w:tcW w:type="dxa" w:w="351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19"/>
                <w:szCs w:val="19"/>
              </w:rPr>
              <w:t xml:space="preserve">Commute data, UAE compliance, proven ridership</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Abu Dhabi DOT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Smart city mobility initiatives</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Route analytics, enterprise contracts, tech IP</w:t>
            </w:r>
          </w:p>
        </w:tc>
      </w:tr>
      <w:tr>
        <w:tc>
          <w:tcPr>
            <w:tcW w:type="dxa" w:w="234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19"/>
                <w:szCs w:val="19"/>
              </w:rPr>
              <w:t xml:space="preserve">Noon / Amazon</w:t>
            </w:r>
          </w:p>
        </w:tc>
        <w:tc>
          <w:tcPr>
            <w:tcW w:type="dxa" w:w="351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19"/>
                <w:szCs w:val="19"/>
              </w:rPr>
              <w:t xml:space="preserve">Build GCC super-app ecosystem</w:t>
            </w:r>
          </w:p>
        </w:tc>
        <w:tc>
          <w:tcPr>
            <w:tcW w:type="dxa" w:w="351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color w:val="000719"/>
                <w:sz w:val="19"/>
                <w:szCs w:val="19"/>
              </w:rPr>
              <w:t xml:space="preserve">Mobility vertical, UAE users, enterprise module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Swvl / Qlick</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Dominate GCC mobility market</w:t>
            </w:r>
          </w:p>
        </w:tc>
        <w:tc>
          <w:tcPr>
            <w:tcW w:type="dxa" w:w="351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000719"/>
                <w:sz w:val="19"/>
                <w:szCs w:val="19"/>
              </w:rPr>
              <w:t xml:space="preserve">Carpooling niche, GCC-ready codebase, data</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8.2  Acquisition Value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00" w:before="200"/>
            </w:pPr>
            <w:r>
              <w:rPr>
                <w:rFonts w:ascii="Arial" w:cs="Arial" w:eastAsia="Arial" w:hAnsi="Arial"/>
                <w:b/>
                <w:bCs/>
                <w:color w:val="000719"/>
                <w:sz w:val="22"/>
                <w:szCs w:val="22"/>
              </w:rPr>
              <w:t xml:space="preserve">Technology Assets</w:t>
            </w:r>
          </w:p>
          <w:p>
            <w:pPr>
              <w:pStyle w:val="ListParagraph"/>
              <w:numPr>
                <w:ilvl w:val="0"/>
                <w:numId w:val="2"/>
              </w:numPr>
              <w:spacing w:after="60" w:before="60"/>
            </w:pPr>
            <w:r>
              <w:rPr>
                <w:rFonts w:ascii="Arial" w:cs="Arial" w:eastAsia="Arial" w:hAnsi="Arial"/>
                <w:b w:val="false"/>
                <w:bCs w:val="false"/>
                <w:color w:val="000719"/>
                <w:sz w:val="22"/>
                <w:szCs w:val="22"/>
              </w:rPr>
              <w:t xml:space="preserve">GCC-localised carpooling matching algorithm</w:t>
            </w:r>
          </w:p>
          <w:p>
            <w:pPr>
              <w:pStyle w:val="ListParagraph"/>
              <w:numPr>
                <w:ilvl w:val="0"/>
                <w:numId w:val="2"/>
              </w:numPr>
              <w:spacing w:after="60" w:before="60"/>
            </w:pPr>
            <w:r>
              <w:rPr>
                <w:rFonts w:ascii="Arial" w:cs="Arial" w:eastAsia="Arial" w:hAnsi="Arial"/>
                <w:b w:val="false"/>
                <w:bCs w:val="false"/>
                <w:color w:val="000719"/>
                <w:sz w:val="22"/>
                <w:szCs w:val="22"/>
              </w:rPr>
              <w:t xml:space="preserve">Clean, documented, scalable React Native codebase</w:t>
            </w:r>
          </w:p>
          <w:p>
            <w:pPr>
              <w:pStyle w:val="ListParagraph"/>
              <w:numPr>
                <w:ilvl w:val="0"/>
                <w:numId w:val="2"/>
              </w:numPr>
              <w:spacing w:after="60" w:before="60"/>
            </w:pPr>
            <w:r>
              <w:rPr>
                <w:rFonts w:ascii="Arial" w:cs="Arial" w:eastAsia="Arial" w:hAnsi="Arial"/>
                <w:b w:val="false"/>
                <w:bCs w:val="false"/>
                <w:color w:val="000719"/>
                <w:sz w:val="22"/>
                <w:szCs w:val="22"/>
              </w:rPr>
              <w:t xml:space="preserve">Enterprise-ready API architecture</w:t>
            </w:r>
          </w:p>
          <w:p>
            <w:pPr>
              <w:pStyle w:val="ListParagraph"/>
              <w:numPr>
                <w:ilvl w:val="0"/>
                <w:numId w:val="2"/>
              </w:numPr>
              <w:spacing w:after="60" w:before="60"/>
            </w:pPr>
            <w:r>
              <w:rPr>
                <w:rFonts w:ascii="Arial" w:cs="Arial" w:eastAsia="Arial" w:hAnsi="Arial"/>
                <w:b w:val="false"/>
                <w:bCs w:val="false"/>
                <w:color w:val="000719"/>
                <w:sz w:val="22"/>
                <w:szCs w:val="22"/>
              </w:rPr>
              <w:t xml:space="preserve">Full RTA and UAE regulatory compliance</w:t>
            </w:r>
          </w:p>
          <w:p>
            <w:pPr>
              <w:pStyle w:val="ListParagraph"/>
              <w:numPr>
                <w:ilvl w:val="0"/>
                <w:numId w:val="2"/>
              </w:numPr>
              <w:spacing w:after="60" w:before="60"/>
            </w:pPr>
            <w:r>
              <w:rPr>
                <w:rFonts w:ascii="Arial" w:cs="Arial" w:eastAsia="Arial" w:hAnsi="Arial"/>
                <w:b w:val="false"/>
                <w:bCs w:val="false"/>
                <w:color w:val="000719"/>
                <w:sz w:val="22"/>
                <w:szCs w:val="22"/>
              </w:rPr>
              <w:t xml:space="preserve">Arabic RTL implementation</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00" w:before="200"/>
            </w:pPr>
            <w:r>
              <w:rPr>
                <w:rFonts w:ascii="Arial" w:cs="Arial" w:eastAsia="Arial" w:hAnsi="Arial"/>
                <w:b/>
                <w:bCs/>
                <w:color w:val="000719"/>
                <w:sz w:val="22"/>
                <w:szCs w:val="22"/>
              </w:rPr>
              <w:t xml:space="preserve">Commercial Assets</w:t>
            </w:r>
          </w:p>
          <w:p>
            <w:pPr>
              <w:pStyle w:val="ListParagraph"/>
              <w:numPr>
                <w:ilvl w:val="0"/>
                <w:numId w:val="2"/>
              </w:numPr>
              <w:spacing w:after="60" w:before="60"/>
            </w:pPr>
            <w:r>
              <w:rPr>
                <w:rFonts w:ascii="Arial" w:cs="Arial" w:eastAsia="Arial" w:hAnsi="Arial"/>
                <w:b w:val="false"/>
                <w:bCs w:val="false"/>
                <w:color w:val="000719"/>
                <w:sz w:val="22"/>
                <w:szCs w:val="22"/>
              </w:rPr>
              <w:t xml:space="preserve">Active verified UAE user base</w:t>
            </w:r>
          </w:p>
          <w:p>
            <w:pPr>
              <w:pStyle w:val="ListParagraph"/>
              <w:numPr>
                <w:ilvl w:val="0"/>
                <w:numId w:val="2"/>
              </w:numPr>
              <w:spacing w:after="60" w:before="60"/>
            </w:pPr>
            <w:r>
              <w:rPr>
                <w:rFonts w:ascii="Arial" w:cs="Arial" w:eastAsia="Arial" w:hAnsi="Arial"/>
                <w:b w:val="false"/>
                <w:bCs w:val="false"/>
                <w:color w:val="000719"/>
                <w:sz w:val="22"/>
                <w:szCs w:val="22"/>
              </w:rPr>
              <w:t xml:space="preserve">Enterprise pilot contracts</w:t>
            </w:r>
          </w:p>
          <w:p>
            <w:pPr>
              <w:pStyle w:val="ListParagraph"/>
              <w:numPr>
                <w:ilvl w:val="0"/>
                <w:numId w:val="2"/>
              </w:numPr>
              <w:spacing w:after="60" w:before="60"/>
            </w:pPr>
            <w:r>
              <w:rPr>
                <w:rFonts w:ascii="Arial" w:cs="Arial" w:eastAsia="Arial" w:hAnsi="Arial"/>
                <w:b w:val="false"/>
                <w:bCs w:val="false"/>
                <w:color w:val="000719"/>
                <w:sz w:val="22"/>
                <w:szCs w:val="22"/>
              </w:rPr>
              <w:t xml:space="preserve">UAE commute pattern dataset (unique IP)</w:t>
            </w:r>
          </w:p>
          <w:p>
            <w:pPr>
              <w:pStyle w:val="ListParagraph"/>
              <w:numPr>
                <w:ilvl w:val="0"/>
                <w:numId w:val="2"/>
              </w:numPr>
              <w:spacing w:after="60" w:before="60"/>
            </w:pPr>
            <w:r>
              <w:rPr>
                <w:rFonts w:ascii="Arial" w:cs="Arial" w:eastAsia="Arial" w:hAnsi="Arial"/>
                <w:b w:val="false"/>
                <w:bCs w:val="false"/>
                <w:color w:val="000719"/>
                <w:sz w:val="22"/>
                <w:szCs w:val="22"/>
              </w:rPr>
              <w:t xml:space="preserve">App Store presence and reviews</w:t>
            </w:r>
          </w:p>
          <w:p>
            <w:pPr>
              <w:pStyle w:val="ListParagraph"/>
              <w:numPr>
                <w:ilvl w:val="0"/>
                <w:numId w:val="2"/>
              </w:numPr>
              <w:spacing w:after="60" w:before="60"/>
            </w:pPr>
            <w:r>
              <w:rPr>
                <w:rFonts w:ascii="Arial" w:cs="Arial" w:eastAsia="Arial" w:hAnsi="Arial"/>
                <w:b w:val="false"/>
                <w:bCs w:val="false"/>
                <w:color w:val="000719"/>
                <w:sz w:val="22"/>
                <w:szCs w:val="22"/>
              </w:rPr>
              <w:t xml:space="preserve">Brand recognition — PoolD / بول دي</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7ED"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RTA Alignment — Key Selling Point</w:t>
            </w:r>
          </w:p>
          <w:p>
            <w:pPr>
              <w:spacing w:after="40" w:before="40"/>
            </w:pPr>
            <w:r>
              <w:rPr>
                <w:rFonts w:ascii="Arial" w:cs="Arial" w:eastAsia="Arial" w:hAnsi="Arial"/>
                <w:color w:val="000719"/>
                <w:sz w:val="20"/>
                <w:szCs w:val="20"/>
              </w:rPr>
              <w:t xml:space="preserve">• UAE Net Zero 2050 Strategy: carpooling directly reduces per-capita emissions</w:t>
            </w:r>
          </w:p>
          <w:p>
            <w:pPr>
              <w:spacing w:after="40" w:before="40"/>
            </w:pPr>
            <w:r>
              <w:rPr>
                <w:rFonts w:ascii="Arial" w:cs="Arial" w:eastAsia="Arial" w:hAnsi="Arial"/>
                <w:color w:val="000719"/>
                <w:sz w:val="20"/>
                <w:szCs w:val="20"/>
              </w:rPr>
              <w:t xml:space="preserve">• Dubai 2040 Urban Master Plan: reduced car dependency is a stated goal</w:t>
            </w:r>
          </w:p>
          <w:p>
            <w:pPr>
              <w:spacing w:after="40" w:before="40"/>
            </w:pPr>
            <w:r>
              <w:rPr>
                <w:rFonts w:ascii="Arial" w:cs="Arial" w:eastAsia="Arial" w:hAnsi="Arial"/>
                <w:color w:val="000719"/>
                <w:sz w:val="20"/>
                <w:szCs w:val="20"/>
              </w:rPr>
              <w:t xml:space="preserve">• RTA Smart Mobility Initiative: PoolD data feeds directly into urban planning tools</w:t>
            </w:r>
          </w:p>
          <w:p>
            <w:pPr>
              <w:spacing w:after="40" w:before="40"/>
            </w:pPr>
            <w:r>
              <w:rPr>
                <w:rFonts w:ascii="Arial" w:cs="Arial" w:eastAsia="Arial" w:hAnsi="Arial"/>
                <w:color w:val="000719"/>
                <w:sz w:val="20"/>
                <w:szCs w:val="20"/>
              </w:rPr>
              <w:t xml:space="preserve">• Corporate sustainability reporting: ESG-driven demand from large UAE employers</w:t>
            </w:r>
          </w:p>
          <w:p>
            <w:pPr>
              <w:spacing w:after="40" w:before="40"/>
            </w:pPr>
            <w:r>
              <w:rPr>
                <w:rFonts w:ascii="Arial" w:cs="Arial" w:eastAsia="Arial" w:hAnsi="Arial"/>
                <w:color w:val="000719"/>
                <w:sz w:val="20"/>
                <w:szCs w:val="20"/>
              </w:rPr>
              <w:t xml:space="preserve">• RTA has a dedicated innovation fund — PoolD qualifies as a priority project</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9. Technical Architecture</w:t>
      </w:r>
    </w:p>
    <w:p>
      <w:pPr>
        <w:spacing w:after="80" w:before="80"/>
      </w:pPr>
      <w:r>
        <w:rPr>
          <w:rFonts w:ascii="Arial" w:cs="Arial" w:eastAsia="Arial" w:hAnsi="Arial"/>
          <w:color w:val="000719"/>
          <w:sz w:val="22"/>
          <w:szCs w:val="22"/>
        </w:rPr>
        <w:t xml:space="preserve">PoolD is built on a modern, cloud-native stack chosen for zero upfront cost, rapid development velocity, and clean handover in an acquisition scenario.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51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510"/>
            <w:tcBorders>
              <w:top w:val="single" w:color="E2E8F0" w:sz="1"/>
              <w:left w:val="single" w:color="E2E8F0" w:sz="1"/>
              <w:bottom w:val="single" w:color="E2E8F0" w:sz="1"/>
              <w:right w:val="single" w:color="E2E8F0" w:sz="1"/>
            </w:tcBorders>
            <w:shd w:fill="016CEB"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Mobile App</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React Native + Expo</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iOS + Android, iPad-friendly development</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Backend &amp; DB</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Supabase (PostgreSQL)</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Real-time, scalable, free tier, instant API</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Authentication</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Firebase Phone Auth</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GCC phone numbers, free up to 10k/month</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Maps &amp; Routes</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Google Maps SDK</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Best UAE/GCC coverage and accuracy</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Real-time</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Supabase Realtime</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Live ride status, driver location</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Payments (v2)</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Stripe</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Multi-currency: AED, SAR, QAR, BHD, OMR</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Push Notifications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Expo Notifications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iOS + Android, simple integration</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File Storage</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Supabase Storage</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Profile photos, documents, verification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Analytics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Mixpanel (free tier)</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User behavior — acquisition-critical data</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Crash Reporting</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Sentry (free tier)</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Code quality discipline for due diligence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Dev Environment</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GitHub Codespaces</w:t>
            </w:r>
          </w:p>
        </w:tc>
        <w:tc>
          <w:tcPr>
            <w:tcW w:type="dxa" w:w="351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000719"/>
                <w:sz w:val="19"/>
                <w:szCs w:val="19"/>
              </w:rPr>
              <w:t xml:space="preserve">Cloud IDE — zero local storage required</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Version Control</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GitHub</w:t>
            </w:r>
          </w:p>
        </w:tc>
        <w:tc>
          <w:tcPr>
            <w:tcW w:type="dxa" w:w="351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000719"/>
                <w:sz w:val="19"/>
                <w:szCs w:val="19"/>
              </w:rPr>
              <w:t xml:space="preserve">Industry standard, clean handover</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10. Go-to-Market Strategy</w:t>
      </w:r>
    </w:p>
    <w:p>
      <w:pPr>
        <w:pStyle w:val="Heading2"/>
        <w:spacing w:after="160" w:before="300"/>
      </w:pPr>
      <w:r>
        <w:rPr>
          <w:rFonts w:ascii="Arial" w:cs="Arial" w:eastAsia="Arial" w:hAnsi="Arial"/>
          <w:b/>
          <w:bCs/>
          <w:color w:val="016CEB"/>
          <w:sz w:val="26"/>
          <w:szCs w:val="26"/>
        </w:rPr>
        <w:t xml:space="preserve">10.1  Launch Strategy — UAE</w:t>
      </w:r>
    </w:p>
    <w:p>
      <w:pPr>
        <w:spacing w:after="80" w:before="80"/>
      </w:pPr>
      <w:r>
        <w:rPr>
          <w:rFonts w:ascii="Arial" w:cs="Arial" w:eastAsia="Arial" w:hAnsi="Arial"/>
          <w:color w:val="000719"/>
          <w:sz w:val="22"/>
          <w:szCs w:val="22"/>
        </w:rPr>
        <w:t xml:space="preserve">PoolD will launch with a focused geographic strategy: targeting the highest-density commute corridors first, where the matching problem is easiest to solve and network effects kick in fastest.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AF4F9"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Priority Launch Corridors</w:t>
            </w:r>
          </w:p>
          <w:p>
            <w:pPr>
              <w:spacing w:after="40" w:before="40"/>
            </w:pPr>
            <w:r>
              <w:rPr>
                <w:rFonts w:ascii="Arial" w:cs="Arial" w:eastAsia="Arial" w:hAnsi="Arial"/>
                <w:color w:val="000719"/>
                <w:sz w:val="20"/>
                <w:szCs w:val="20"/>
              </w:rPr>
              <w:t xml:space="preserve">• Sharjah → Dubai (largest commuter corridor in UAE — 500,000+ daily crossings)</w:t>
            </w:r>
          </w:p>
          <w:p>
            <w:pPr>
              <w:spacing w:after="40" w:before="40"/>
            </w:pPr>
            <w:r>
              <w:rPr>
                <w:rFonts w:ascii="Arial" w:cs="Arial" w:eastAsia="Arial" w:hAnsi="Arial"/>
                <w:color w:val="000719"/>
                <w:sz w:val="20"/>
                <w:szCs w:val="20"/>
              </w:rPr>
              <w:t xml:space="preserve">• Abu Dhabi → Dubai (government &amp; corporate corridor)</w:t>
            </w:r>
          </w:p>
          <w:p>
            <w:pPr>
              <w:spacing w:after="40" w:before="40"/>
            </w:pPr>
            <w:r>
              <w:rPr>
                <w:rFonts w:ascii="Arial" w:cs="Arial" w:eastAsia="Arial" w:hAnsi="Arial"/>
                <w:color w:val="000719"/>
                <w:sz w:val="20"/>
                <w:szCs w:val="20"/>
              </w:rPr>
              <w:t xml:space="preserve">• Dubai Marina / JLT → DIFC / Downtown (white collar commuter belt)</w:t>
            </w:r>
          </w:p>
          <w:p>
            <w:pPr>
              <w:spacing w:after="40" w:before="40"/>
            </w:pPr>
            <w:r>
              <w:rPr>
                <w:rFonts w:ascii="Arial" w:cs="Arial" w:eastAsia="Arial" w:hAnsi="Arial"/>
                <w:color w:val="000719"/>
                <w:sz w:val="20"/>
                <w:szCs w:val="20"/>
              </w:rPr>
              <w:t xml:space="preserve">• Al Ain → Abu Dhabi (long-distance commute corridor)</w:t>
            </w:r>
          </w:p>
          <w:p>
            <w:pPr>
              <w:spacing w:after="40" w:before="40"/>
            </w:pPr>
            <w:r>
              <w:rPr>
                <w:rFonts w:ascii="Arial" w:cs="Arial" w:eastAsia="Arial" w:hAnsi="Arial"/>
                <w:color w:val="000719"/>
                <w:sz w:val="20"/>
                <w:szCs w:val="20"/>
              </w:rPr>
              <w:t xml:space="preserve">• Dubai → Jebel Ali / DIP (industrial &amp; logistics workforce)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00" w:before="200"/>
            </w:pPr>
            <w:r>
              <w:rPr>
                <w:rFonts w:ascii="Arial" w:cs="Arial" w:eastAsia="Arial" w:hAnsi="Arial"/>
                <w:b/>
                <w:bCs/>
                <w:color w:val="000719"/>
                <w:sz w:val="22"/>
                <w:szCs w:val="22"/>
              </w:rPr>
              <w:t xml:space="preserve">Acquisition Channels</w:t>
            </w:r>
          </w:p>
          <w:p>
            <w:pPr>
              <w:pStyle w:val="ListParagraph"/>
              <w:numPr>
                <w:ilvl w:val="0"/>
                <w:numId w:val="2"/>
              </w:numPr>
              <w:spacing w:after="60" w:before="60"/>
            </w:pPr>
            <w:r>
              <w:rPr>
                <w:rFonts w:ascii="Arial" w:cs="Arial" w:eastAsia="Arial" w:hAnsi="Arial"/>
                <w:b w:val="false"/>
                <w:bCs w:val="false"/>
                <w:color w:val="000719"/>
                <w:sz w:val="22"/>
                <w:szCs w:val="22"/>
              </w:rPr>
              <w:t xml:space="preserve">University campuses (student ambassadors)</w:t>
            </w:r>
          </w:p>
          <w:p>
            <w:pPr>
              <w:pStyle w:val="ListParagraph"/>
              <w:numPr>
                <w:ilvl w:val="0"/>
                <w:numId w:val="2"/>
              </w:numPr>
              <w:spacing w:after="60" w:before="60"/>
            </w:pPr>
            <w:r>
              <w:rPr>
                <w:rFonts w:ascii="Arial" w:cs="Arial" w:eastAsia="Arial" w:hAnsi="Arial"/>
                <w:b w:val="false"/>
                <w:bCs w:val="false"/>
                <w:color w:val="000719"/>
                <w:sz w:val="22"/>
                <w:szCs w:val="22"/>
              </w:rPr>
              <w:t xml:space="preserve">Large residential communities (Discovery Gardens, Sports City)</w:t>
            </w:r>
          </w:p>
          <w:p>
            <w:pPr>
              <w:pStyle w:val="ListParagraph"/>
              <w:numPr>
                <w:ilvl w:val="0"/>
                <w:numId w:val="2"/>
              </w:numPr>
              <w:spacing w:after="60" w:before="60"/>
            </w:pPr>
            <w:r>
              <w:rPr>
                <w:rFonts w:ascii="Arial" w:cs="Arial" w:eastAsia="Arial" w:hAnsi="Arial"/>
                <w:b w:val="false"/>
                <w:bCs w:val="false"/>
                <w:color w:val="000719"/>
                <w:sz w:val="22"/>
                <w:szCs w:val="22"/>
              </w:rPr>
              <w:t xml:space="preserve">Corporate HR partnerships — offer as employee benefit</w:t>
            </w:r>
          </w:p>
          <w:p>
            <w:pPr>
              <w:pStyle w:val="ListParagraph"/>
              <w:numPr>
                <w:ilvl w:val="0"/>
                <w:numId w:val="2"/>
              </w:numPr>
              <w:spacing w:after="60" w:before="60"/>
            </w:pPr>
            <w:r>
              <w:rPr>
                <w:rFonts w:ascii="Arial" w:cs="Arial" w:eastAsia="Arial" w:hAnsi="Arial"/>
                <w:b w:val="false"/>
                <w:bCs w:val="false"/>
                <w:color w:val="000719"/>
                <w:sz w:val="22"/>
                <w:szCs w:val="22"/>
              </w:rPr>
              <w:t xml:space="preserve">Instagram / TikTok Arabic content creators</w:t>
            </w:r>
          </w:p>
          <w:p>
            <w:pPr>
              <w:pStyle w:val="ListParagraph"/>
              <w:numPr>
                <w:ilvl w:val="0"/>
                <w:numId w:val="2"/>
              </w:numPr>
              <w:spacing w:after="60" w:before="60"/>
            </w:pPr>
            <w:r>
              <w:rPr>
                <w:rFonts w:ascii="Arial" w:cs="Arial" w:eastAsia="Arial" w:hAnsi="Arial"/>
                <w:b w:val="false"/>
                <w:bCs w:val="false"/>
                <w:color w:val="000719"/>
                <w:sz w:val="22"/>
                <w:szCs w:val="22"/>
              </w:rPr>
              <w:t xml:space="preserve">Referral program — AED 20 credit per signup</w:t>
            </w:r>
          </w:p>
        </w:tc>
        <w:tc>
          <w:tcPr>
            <w:tcW w:type="dxa" w:w="46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00" w:before="200"/>
            </w:pPr>
            <w:r>
              <w:rPr>
                <w:rFonts w:ascii="Arial" w:cs="Arial" w:eastAsia="Arial" w:hAnsi="Arial"/>
                <w:b/>
                <w:bCs/>
                <w:color w:val="000719"/>
                <w:sz w:val="22"/>
                <w:szCs w:val="22"/>
              </w:rPr>
              <w:t xml:space="preserve">Retention Mechanics</w:t>
            </w:r>
          </w:p>
          <w:p>
            <w:pPr>
              <w:pStyle w:val="ListParagraph"/>
              <w:numPr>
                <w:ilvl w:val="0"/>
                <w:numId w:val="2"/>
              </w:numPr>
              <w:spacing w:after="60" w:before="60"/>
            </w:pPr>
            <w:r>
              <w:rPr>
                <w:rFonts w:ascii="Arial" w:cs="Arial" w:eastAsia="Arial" w:hAnsi="Arial"/>
                <w:b w:val="false"/>
                <w:bCs w:val="false"/>
                <w:color w:val="000719"/>
                <w:sz w:val="22"/>
                <w:szCs w:val="22"/>
              </w:rPr>
              <w:t xml:space="preserve">Recurring ride scheduling (habit formation)</w:t>
            </w:r>
          </w:p>
          <w:p>
            <w:pPr>
              <w:pStyle w:val="ListParagraph"/>
              <w:numPr>
                <w:ilvl w:val="0"/>
                <w:numId w:val="2"/>
              </w:numPr>
              <w:spacing w:after="60" w:before="60"/>
            </w:pPr>
            <w:r>
              <w:rPr>
                <w:rFonts w:ascii="Arial" w:cs="Arial" w:eastAsia="Arial" w:hAnsi="Arial"/>
                <w:b w:val="false"/>
                <w:bCs w:val="false"/>
                <w:color w:val="000719"/>
                <w:sz w:val="22"/>
                <w:szCs w:val="22"/>
              </w:rPr>
              <w:t xml:space="preserve">Monthly carbon savings report (pride &amp; sharing)</w:t>
            </w:r>
          </w:p>
          <w:p>
            <w:pPr>
              <w:pStyle w:val="ListParagraph"/>
              <w:numPr>
                <w:ilvl w:val="0"/>
                <w:numId w:val="2"/>
              </w:numPr>
              <w:spacing w:after="60" w:before="60"/>
            </w:pPr>
            <w:r>
              <w:rPr>
                <w:rFonts w:ascii="Arial" w:cs="Arial" w:eastAsia="Arial" w:hAnsi="Arial"/>
                <w:b w:val="false"/>
                <w:bCs w:val="false"/>
                <w:color w:val="000719"/>
                <w:sz w:val="22"/>
                <w:szCs w:val="22"/>
              </w:rPr>
              <w:t xml:space="preserve">Trust score &amp; badges (social proof)</w:t>
            </w:r>
          </w:p>
          <w:p>
            <w:pPr>
              <w:pStyle w:val="ListParagraph"/>
              <w:numPr>
                <w:ilvl w:val="0"/>
                <w:numId w:val="2"/>
              </w:numPr>
              <w:spacing w:after="60" w:before="60"/>
            </w:pPr>
            <w:r>
              <w:rPr>
                <w:rFonts w:ascii="Arial" w:cs="Arial" w:eastAsia="Arial" w:hAnsi="Arial"/>
                <w:b w:val="false"/>
                <w:bCs w:val="false"/>
                <w:color w:val="000719"/>
                <w:sz w:val="22"/>
                <w:szCs w:val="22"/>
              </w:rPr>
              <w:t xml:space="preserve">Loyalty rewards for frequent users</w:t>
            </w:r>
          </w:p>
          <w:p>
            <w:pPr>
              <w:pStyle w:val="ListParagraph"/>
              <w:numPr>
                <w:ilvl w:val="0"/>
                <w:numId w:val="2"/>
              </w:numPr>
              <w:spacing w:after="60" w:before="60"/>
            </w:pPr>
            <w:r>
              <w:rPr>
                <w:rFonts w:ascii="Arial" w:cs="Arial" w:eastAsia="Arial" w:hAnsi="Arial"/>
                <w:b w:val="false"/>
                <w:bCs w:val="false"/>
                <w:color w:val="000719"/>
                <w:sz w:val="22"/>
                <w:szCs w:val="22"/>
              </w:rPr>
              <w:t xml:space="preserve">Community features — route groups</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10.2  Enterprise Sales Strategy</w:t>
      </w:r>
    </w:p>
    <w:p>
      <w:pPr>
        <w:spacing w:after="80" w:before="80"/>
      </w:pPr>
      <w:r>
        <w:rPr>
          <w:rFonts w:ascii="Arial" w:cs="Arial" w:eastAsia="Arial" w:hAnsi="Arial"/>
          <w:color w:val="000719"/>
          <w:sz w:val="22"/>
          <w:szCs w:val="22"/>
        </w:rPr>
        <w:t xml:space="preserve">Post-MVP, PoolD will approach UAE enterprises through a land-and-expand model — starting with one department or campus, proving ROI, then rolling out company-wide.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Target Enterprise Segments</w:t>
            </w:r>
          </w:p>
          <w:p>
            <w:pPr>
              <w:spacing w:after="40" w:before="40"/>
            </w:pPr>
            <w:r>
              <w:rPr>
                <w:rFonts w:ascii="Arial" w:cs="Arial" w:eastAsia="Arial" w:hAnsi="Arial"/>
                <w:color w:val="000719"/>
                <w:sz w:val="20"/>
                <w:szCs w:val="20"/>
              </w:rPr>
              <w:t xml:space="preserve">• Government entities: DEWA, RTA, Dubai Municipality, ADNOC (CSR/sustainability mandate)</w:t>
            </w:r>
          </w:p>
          <w:p>
            <w:pPr>
              <w:spacing w:after="40" w:before="40"/>
            </w:pPr>
            <w:r>
              <w:rPr>
                <w:rFonts w:ascii="Arial" w:cs="Arial" w:eastAsia="Arial" w:hAnsi="Arial"/>
                <w:color w:val="000719"/>
                <w:sz w:val="20"/>
                <w:szCs w:val="20"/>
              </w:rPr>
              <w:t xml:space="preserve">• Financial sector: Emirates NBD, ADCB, FAB (large central office workforce)</w:t>
            </w:r>
          </w:p>
          <w:p>
            <w:pPr>
              <w:spacing w:after="40" w:before="40"/>
            </w:pPr>
            <w:r>
              <w:rPr>
                <w:rFonts w:ascii="Arial" w:cs="Arial" w:eastAsia="Arial" w:hAnsi="Arial"/>
                <w:color w:val="000719"/>
                <w:sz w:val="20"/>
                <w:szCs w:val="20"/>
              </w:rPr>
              <w:t xml:space="preserve">• Aviation &amp; hospitality: Emirates Airline, Etihad, Emaar (shift workers, campus commuters)</w:t>
            </w:r>
          </w:p>
          <w:p>
            <w:pPr>
              <w:spacing w:after="40" w:before="40"/>
            </w:pPr>
            <w:r>
              <w:rPr>
                <w:rFonts w:ascii="Arial" w:cs="Arial" w:eastAsia="Arial" w:hAnsi="Arial"/>
                <w:color w:val="000719"/>
                <w:sz w:val="20"/>
                <w:szCs w:val="20"/>
              </w:rPr>
              <w:t xml:space="preserve">• Free zone companies: JAFZA, KIZAD, twofour54 (concentrated workforce, shared parking problem)</w:t>
            </w:r>
          </w:p>
          <w:p>
            <w:pPr>
              <w:spacing w:after="40" w:before="40"/>
            </w:pPr>
            <w:r>
              <w:rPr>
                <w:rFonts w:ascii="Arial" w:cs="Arial" w:eastAsia="Arial" w:hAnsi="Arial"/>
                <w:color w:val="000719"/>
                <w:sz w:val="20"/>
                <w:szCs w:val="20"/>
              </w:rPr>
              <w:t xml:space="preserve">• Universities: American University of Sharjah, UAEU, Khalifa University</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11. Team &amp; Next Steps</w:t>
      </w:r>
    </w:p>
    <w:p>
      <w:pPr>
        <w:pStyle w:val="Heading2"/>
        <w:spacing w:after="160" w:before="300"/>
      </w:pPr>
      <w:r>
        <w:rPr>
          <w:rFonts w:ascii="Arial" w:cs="Arial" w:eastAsia="Arial" w:hAnsi="Arial"/>
          <w:b/>
          <w:bCs/>
          <w:color w:val="016CEB"/>
          <w:sz w:val="26"/>
          <w:szCs w:val="26"/>
        </w:rPr>
        <w:t xml:space="preserve">11.1  Current Status</w:t>
      </w:r>
    </w:p>
    <w:p>
      <w:pPr>
        <w:spacing w:after="80" w:before="80"/>
      </w:pPr>
      <w:r>
        <w:rPr>
          <w:rFonts w:ascii="Arial" w:cs="Arial" w:eastAsia="Arial" w:hAnsi="Arial"/>
          <w:color w:val="000719"/>
          <w:sz w:val="22"/>
          <w:szCs w:val="22"/>
        </w:rPr>
        <w:t xml:space="preserve">PoolD is in pre-development stage with a defined product vision, technical architecture, and go-to-market strategy. Development is commencing immediately using a cloud-based environment optimised for mobile development without infrastructure costs.</w:t>
      </w:r>
    </w:p>
    <w:p>
      <w:pPr>
        <w:spacing w:after="120" w:before="0"/>
      </w:pPr>
      <w:r>
        <w:t xml:space="preserve"/>
      </w:r>
    </w:p>
    <w:p>
      <w:pPr>
        <w:pStyle w:val="Heading2"/>
        <w:spacing w:after="160" w:before="300"/>
      </w:pPr>
      <w:r>
        <w:rPr>
          <w:rFonts w:ascii="Arial" w:cs="Arial" w:eastAsia="Arial" w:hAnsi="Arial"/>
          <w:b/>
          <w:bCs/>
          <w:color w:val="016CEB"/>
          <w:sz w:val="26"/>
          <w:szCs w:val="26"/>
        </w:rPr>
        <w:t xml:space="preserve">11.2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1800"/>
        <w:gridCol w:w="1800"/>
      </w:tblGrid>
      <w:tr>
        <w:tc>
          <w:tcPr>
            <w:tcW w:type="dxa" w:w="720"/>
            <w:tcBorders>
              <w:top w:val="single" w:color="E2E8F0" w:sz="1"/>
              <w:left w:val="single" w:color="E2E8F0" w:sz="1"/>
              <w:bottom w:val="single" w:color="E2E8F0" w:sz="1"/>
              <w:right w:val="single" w:color="E2E8F0" w:sz="1"/>
            </w:tcBorders>
            <w:shd w:fill="00071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040"/>
            <w:tcBorders>
              <w:top w:val="single" w:color="E2E8F0" w:sz="1"/>
              <w:left w:val="single" w:color="E2E8F0" w:sz="1"/>
              <w:bottom w:val="single" w:color="E2E8F0" w:sz="1"/>
              <w:right w:val="single" w:color="E2E8F0" w:sz="1"/>
            </w:tcBorders>
            <w:shd w:fill="00071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800"/>
            <w:tcBorders>
              <w:top w:val="single" w:color="E2E8F0" w:sz="1"/>
              <w:left w:val="single" w:color="E2E8F0" w:sz="1"/>
              <w:bottom w:val="single" w:color="E2E8F0" w:sz="1"/>
              <w:right w:val="single" w:color="E2E8F0" w:sz="1"/>
            </w:tcBorders>
            <w:shd w:fill="00071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800"/>
            <w:tcBorders>
              <w:top w:val="single" w:color="E2E8F0" w:sz="1"/>
              <w:left w:val="single" w:color="E2E8F0" w:sz="1"/>
              <w:bottom w:val="single" w:color="E2E8F0" w:sz="1"/>
              <w:right w:val="single" w:color="E2E8F0" w:sz="1"/>
            </w:tcBorders>
            <w:shd w:fill="000719"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1</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Set up GitHub, Supabase, Firebase, Expo accounts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Founder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Week 1</w:t>
            </w:r>
          </w:p>
        </w:tc>
      </w:tr>
      <w:tr>
        <w:tc>
          <w:tcPr>
            <w:tcW w:type="dxa" w:w="7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2</w:t>
            </w:r>
          </w:p>
        </w:tc>
        <w:tc>
          <w:tcPr>
            <w:tcW w:type="dxa" w:w="5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Configure GitHub Codespaces development environment</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Week 1</w:t>
            </w:r>
          </w:p>
        </w:tc>
      </w:tr>
      <w:tr>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3</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Design database schema and data architecture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Week 1</w:t>
            </w:r>
          </w:p>
        </w:tc>
      </w:tr>
      <w:tr>
        <w:tc>
          <w:tcPr>
            <w:tcW w:type="dxa" w:w="7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4</w:t>
            </w:r>
          </w:p>
        </w:tc>
        <w:tc>
          <w:tcPr>
            <w:tcW w:type="dxa" w:w="5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Build authentication module (phone OTP)</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Week 2</w:t>
            </w:r>
          </w:p>
        </w:tc>
      </w:tr>
      <w:tr>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5</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Build driver &amp; rider profile screens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Week 2–3</w:t>
            </w:r>
          </w:p>
        </w:tc>
      </w:tr>
      <w:tr>
        <w:tc>
          <w:tcPr>
            <w:tcW w:type="dxa" w:w="7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6</w:t>
            </w:r>
          </w:p>
        </w:tc>
        <w:tc>
          <w:tcPr>
            <w:tcW w:type="dxa" w:w="5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Implement ride posting and search</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Week 3–4</w:t>
            </w:r>
          </w:p>
        </w:tc>
      </w:tr>
      <w:tr>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7</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Integrate Google Maps route preview</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Week 4–5</w:t>
            </w:r>
          </w:p>
        </w:tc>
      </w:tr>
      <w:tr>
        <w:tc>
          <w:tcPr>
            <w:tcW w:type="dxa" w:w="7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8</w:t>
            </w:r>
          </w:p>
        </w:tc>
        <w:tc>
          <w:tcPr>
            <w:tcW w:type="dxa" w:w="5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Build in-app messaging</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Week 5–6</w:t>
            </w:r>
          </w:p>
        </w:tc>
      </w:tr>
      <w:tr>
        <w:tc>
          <w:tcPr>
            <w:tcW w:type="dxa" w:w="7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9</w:t>
            </w:r>
          </w:p>
        </w:tc>
        <w:tc>
          <w:tcPr>
            <w:tcW w:type="dxa" w:w="50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Ratings, reviews, and trust score system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Founder + Claude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00719"/>
                <w:sz w:val="18"/>
                <w:szCs w:val="18"/>
              </w:rPr>
              <w:t xml:space="preserve">Week 6–7</w:t>
            </w:r>
          </w:p>
        </w:tc>
      </w:tr>
      <w:tr>
        <w:tc>
          <w:tcPr>
            <w:tcW w:type="dxa" w:w="7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10</w:t>
            </w:r>
          </w:p>
        </w:tc>
        <w:tc>
          <w:tcPr>
            <w:tcW w:type="dxa" w:w="50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Beta testing with 20–50 real users in UAE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Founder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000719"/>
                <w:sz w:val="18"/>
                <w:szCs w:val="18"/>
              </w:rPr>
              <w:t xml:space="preserve">Week 8</w:t>
            </w:r>
          </w:p>
        </w:tc>
      </w:tr>
    </w:tbl>
    <w:p>
      <w:pPr>
        <w:spacing w:after="120" w:before="0"/>
      </w:pPr>
      <w:r>
        <w:t xml:space="preserve"/>
      </w:r>
    </w:p>
    <w:p>
      <w:pPr>
        <w:pStyle w:val="Heading2"/>
        <w:spacing w:after="160" w:before="300"/>
      </w:pPr>
      <w:r>
        <w:rPr>
          <w:rFonts w:ascii="Arial" w:cs="Arial" w:eastAsia="Arial" w:hAnsi="Arial"/>
          <w:b/>
          <w:bCs/>
          <w:color w:val="016CEB"/>
          <w:sz w:val="26"/>
          <w:szCs w:val="26"/>
        </w:rPr>
        <w:t xml:space="preserve">11.3  Company Registration</w:t>
      </w:r>
    </w:p>
    <w:p>
      <w:pPr>
        <w:spacing w:after="80" w:before="80"/>
      </w:pPr>
      <w:r>
        <w:rPr>
          <w:rFonts w:ascii="Arial" w:cs="Arial" w:eastAsia="Arial" w:hAnsi="Arial"/>
          <w:color w:val="000719"/>
          <w:sz w:val="22"/>
          <w:szCs w:val="22"/>
        </w:rPr>
        <w:t xml:space="preserve">Company registration will be completed after MVP launch and initial user traction. Recommended structure: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FF7ED" w:val="clear"/>
            <w:tcMar>
              <w:top w:type="dxa" w:w="160"/>
              <w:left w:type="dxa" w:w="240"/>
              <w:bottom w:type="dxa" w:w="160"/>
              <w:right w:type="dxa" w:w="240"/>
            </w:tcMar>
          </w:tcPr>
          <w:p>
            <w:pPr>
              <w:spacing w:after="100" w:before="0"/>
            </w:pPr>
            <w:r>
              <w:rPr>
                <w:rFonts w:ascii="Arial" w:cs="Arial" w:eastAsia="Arial" w:hAnsi="Arial"/>
                <w:b/>
                <w:bCs/>
                <w:color w:val="016CEB"/>
                <w:sz w:val="22"/>
                <w:szCs w:val="22"/>
              </w:rPr>
              <w:t xml:space="preserve">Recommended Registration Path</w:t>
            </w:r>
          </w:p>
          <w:p>
            <w:pPr>
              <w:spacing w:after="40" w:before="40"/>
            </w:pPr>
            <w:r>
              <w:rPr>
                <w:rFonts w:ascii="Arial" w:cs="Arial" w:eastAsia="Arial" w:hAnsi="Arial"/>
                <w:color w:val="000719"/>
                <w:sz w:val="20"/>
                <w:szCs w:val="20"/>
              </w:rPr>
              <w:t xml:space="preserve">• Entity: UAE Free Zone LLC (Dubai Internet City or IFZA — lowest cost)</w:t>
            </w:r>
          </w:p>
          <w:p>
            <w:pPr>
              <w:spacing w:after="40" w:before="40"/>
            </w:pPr>
            <w:r>
              <w:rPr>
                <w:rFonts w:ascii="Arial" w:cs="Arial" w:eastAsia="Arial" w:hAnsi="Arial"/>
                <w:color w:val="000719"/>
                <w:sz w:val="20"/>
                <w:szCs w:val="20"/>
              </w:rPr>
              <w:t xml:space="preserve">• Timing: After MVP launch and first 500 users (proves concept before legal cost)</w:t>
            </w:r>
          </w:p>
          <w:p>
            <w:pPr>
              <w:spacing w:after="40" w:before="40"/>
            </w:pPr>
            <w:r>
              <w:rPr>
                <w:rFonts w:ascii="Arial" w:cs="Arial" w:eastAsia="Arial" w:hAnsi="Arial"/>
                <w:color w:val="000719"/>
                <w:sz w:val="20"/>
                <w:szCs w:val="20"/>
              </w:rPr>
              <w:t xml:space="preserve">• Cost: AED 8,000–15,000 depending on free zone</w:t>
            </w:r>
          </w:p>
          <w:p>
            <w:pPr>
              <w:spacing w:after="40" w:before="40"/>
            </w:pPr>
            <w:r>
              <w:rPr>
                <w:rFonts w:ascii="Arial" w:cs="Arial" w:eastAsia="Arial" w:hAnsi="Arial"/>
                <w:color w:val="000719"/>
                <w:sz w:val="20"/>
                <w:szCs w:val="20"/>
              </w:rPr>
              <w:t xml:space="preserve">• IP Protection: File provisional trademark for 'PoolD' in UAE upon registration</w:t>
            </w:r>
          </w:p>
          <w:p>
            <w:pPr>
              <w:spacing w:after="40" w:before="40"/>
            </w:pPr>
            <w:r>
              <w:rPr>
                <w:rFonts w:ascii="Arial" w:cs="Arial" w:eastAsia="Arial" w:hAnsi="Arial"/>
                <w:color w:val="000719"/>
                <w:sz w:val="20"/>
                <w:szCs w:val="20"/>
              </w:rPr>
              <w:t xml:space="preserve">• Note: Operating as an individual during MVP phase is standard practice for early-stage startups</w:t>
            </w:r>
          </w:p>
        </w:tc>
      </w:tr>
    </w:tbl>
    <w:p>
      <w:pPr>
        <w:spacing w:after="120" w:before="0"/>
      </w:pPr>
      <w:r>
        <w:t xml:space="preserve"/>
      </w:r>
    </w:p>
    <w:p>
      <w:r>
        <w:br w:type="page"/>
      </w:r>
    </w:p>
    <w:p>
      <w:pPr>
        <w:pStyle w:val="Heading1"/>
        <w:pBdr>
          <w:bottom w:val="single" w:color="016CEB" w:sz="3" w:space="6"/>
        </w:pBdr>
        <w:spacing w:after="200" w:before="400"/>
      </w:pPr>
      <w:r>
        <w:rPr>
          <w:rFonts w:ascii="Arial" w:cs="Arial" w:eastAsia="Arial" w:hAnsi="Arial"/>
          <w:b/>
          <w:bCs/>
          <w:color w:val="000719"/>
          <w:sz w:val="32"/>
          <w:szCs w:val="32"/>
        </w:rPr>
        <w:t xml:space="preserve">12. Why PoolD Wins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AF4F9" w:val="clear"/>
            <w:tcMar>
              <w:top w:type="dxa" w:w="180"/>
              <w:left w:type="dxa" w:w="280"/>
              <w:bottom w:type="dxa" w:w="180"/>
              <w:right w:type="dxa" w:w="280"/>
            </w:tcMar>
          </w:tcPr>
          <w:p>
            <w:pPr>
              <w:spacing w:after="60" w:before="0"/>
            </w:pPr>
            <w:r>
              <w:rPr>
                <w:rFonts w:ascii="Arial" w:cs="Arial" w:eastAsia="Arial" w:hAnsi="Arial"/>
                <w:b/>
                <w:bCs/>
                <w:color w:val="016CEB"/>
                <w:sz w:val="22"/>
                <w:szCs w:val="22"/>
              </w:rPr>
              <w:t xml:space="preserve">🎯  Right Market</w:t>
            </w:r>
          </w:p>
          <w:p>
            <w:r>
              <w:rPr>
                <w:rFonts w:ascii="Arial" w:cs="Arial" w:eastAsia="Arial" w:hAnsi="Arial"/>
                <w:color w:val="000719"/>
                <w:sz w:val="20"/>
                <w:szCs w:val="20"/>
              </w:rPr>
              <w:t xml:space="preserve">UAE has the highest carpooling potential in the world — high car ownership, high congestion, high commute costs, government mandate to reduce traffic.</w:t>
            </w:r>
          </w:p>
        </w:tc>
      </w:tr>
      <w:tr>
        <w:tc>
          <w:tcPr>
            <w:tcW w:type="dxa" w:w="9360"/>
            <w:tcBorders>
              <w:top w:val="single" w:color="E2E8F0" w:sz="1"/>
              <w:left w:val="single" w:color="E2E8F0" w:sz="1"/>
              <w:bottom w:val="single" w:color="E2E8F0" w:sz="1"/>
              <w:right w:val="single" w:color="E2E8F0" w:sz="1"/>
            </w:tcBorders>
            <w:shd w:fill="FFFFFF" w:val="clear"/>
            <w:tcMar>
              <w:top w:type="dxa" w:w="180"/>
              <w:left w:type="dxa" w:w="280"/>
              <w:bottom w:type="dxa" w:w="180"/>
              <w:right w:type="dxa" w:w="280"/>
            </w:tcMar>
          </w:tcPr>
          <w:p>
            <w:pPr>
              <w:spacing w:after="60" w:before="0"/>
            </w:pPr>
            <w:r>
              <w:rPr>
                <w:rFonts w:ascii="Arial" w:cs="Arial" w:eastAsia="Arial" w:hAnsi="Arial"/>
                <w:b/>
                <w:bCs/>
                <w:color w:val="016CEB"/>
                <w:sz w:val="22"/>
                <w:szCs w:val="22"/>
              </w:rPr>
              <w:t xml:space="preserve">🕐  Right Timing</w:t>
            </w:r>
          </w:p>
          <w:p>
            <w:r>
              <w:rPr>
                <w:rFonts w:ascii="Arial" w:cs="Arial" w:eastAsia="Arial" w:hAnsi="Arial"/>
                <w:color w:val="000719"/>
                <w:sz w:val="20"/>
                <w:szCs w:val="20"/>
              </w:rPr>
              <w:t xml:space="preserve">UAE Net Zero 2050, Dubai 2040 Urban Master Plan, and RTA Smart Mobility initiatives have created a government-driven demand for exactly this solution.</w:t>
            </w:r>
          </w:p>
        </w:tc>
      </w:tr>
      <w:tr>
        <w:tc>
          <w:tcPr>
            <w:tcW w:type="dxa" w:w="9360"/>
            <w:tcBorders>
              <w:top w:val="single" w:color="E2E8F0" w:sz="1"/>
              <w:left w:val="single" w:color="E2E8F0" w:sz="1"/>
              <w:bottom w:val="single" w:color="E2E8F0" w:sz="1"/>
              <w:right w:val="single" w:color="E2E8F0" w:sz="1"/>
            </w:tcBorders>
            <w:shd w:fill="EAF4F9" w:val="clear"/>
            <w:tcMar>
              <w:top w:type="dxa" w:w="180"/>
              <w:left w:type="dxa" w:w="280"/>
              <w:bottom w:type="dxa" w:w="180"/>
              <w:right w:type="dxa" w:w="280"/>
            </w:tcMar>
          </w:tcPr>
          <w:p>
            <w:pPr>
              <w:spacing w:after="60" w:before="0"/>
            </w:pPr>
            <w:r>
              <w:rPr>
                <w:rFonts w:ascii="Arial" w:cs="Arial" w:eastAsia="Arial" w:hAnsi="Arial"/>
                <w:b/>
                <w:bCs/>
                <w:color w:val="016CEB"/>
                <w:sz w:val="22"/>
                <w:szCs w:val="22"/>
              </w:rPr>
              <w:t xml:space="preserve">🏗️  Right Architecture</w:t>
            </w:r>
          </w:p>
          <w:p>
            <w:r>
              <w:rPr>
                <w:rFonts w:ascii="Arial" w:cs="Arial" w:eastAsia="Arial" w:hAnsi="Arial"/>
                <w:color w:val="000719"/>
                <w:sz w:val="20"/>
                <w:szCs w:val="20"/>
              </w:rPr>
              <w:t xml:space="preserve">Built GCC-first, multi-country from day one. Not an adaptation — a native product. Arabic RTL, local payments, local compliance.</w:t>
            </w:r>
          </w:p>
        </w:tc>
      </w:tr>
      <w:tr>
        <w:tc>
          <w:tcPr>
            <w:tcW w:type="dxa" w:w="9360"/>
            <w:tcBorders>
              <w:top w:val="single" w:color="E2E8F0" w:sz="1"/>
              <w:left w:val="single" w:color="E2E8F0" w:sz="1"/>
              <w:bottom w:val="single" w:color="E2E8F0" w:sz="1"/>
              <w:right w:val="single" w:color="E2E8F0" w:sz="1"/>
            </w:tcBorders>
            <w:shd w:fill="FFFFFF" w:val="clear"/>
            <w:tcMar>
              <w:top w:type="dxa" w:w="180"/>
              <w:left w:type="dxa" w:w="280"/>
              <w:bottom w:type="dxa" w:w="180"/>
              <w:right w:type="dxa" w:w="280"/>
            </w:tcMar>
          </w:tcPr>
          <w:p>
            <w:pPr>
              <w:spacing w:after="60" w:before="0"/>
            </w:pPr>
            <w:r>
              <w:rPr>
                <w:rFonts w:ascii="Arial" w:cs="Arial" w:eastAsia="Arial" w:hAnsi="Arial"/>
                <w:b/>
                <w:bCs/>
                <w:color w:val="016CEB"/>
                <w:sz w:val="22"/>
                <w:szCs w:val="22"/>
              </w:rPr>
              <w:t xml:space="preserve">💼  Right Exit Path</w:t>
            </w:r>
          </w:p>
          <w:p>
            <w:r>
              <w:rPr>
                <w:rFonts w:ascii="Arial" w:cs="Arial" w:eastAsia="Arial" w:hAnsi="Arial"/>
                <w:color w:val="000719"/>
                <w:sz w:val="20"/>
                <w:szCs w:val="20"/>
              </w:rPr>
              <w:t xml:space="preserve">Careem and Uber already hold UAE transport licences. PoolD launches compliant and hands an acquirer a ready user base and data that plugs straight into their licensed infrastructure — switching on ride revenue from day one.</w:t>
            </w:r>
          </w:p>
        </w:tc>
      </w:tr>
      <w:tr>
        <w:tc>
          <w:tcPr>
            <w:tcW w:type="dxa" w:w="9360"/>
            <w:tcBorders>
              <w:top w:val="single" w:color="E2E8F0" w:sz="1"/>
              <w:left w:val="single" w:color="E2E8F0" w:sz="1"/>
              <w:bottom w:val="single" w:color="E2E8F0" w:sz="1"/>
              <w:right w:val="single" w:color="E2E8F0" w:sz="1"/>
            </w:tcBorders>
            <w:shd w:fill="EAF4F9" w:val="clear"/>
            <w:tcMar>
              <w:top w:type="dxa" w:w="180"/>
              <w:left w:type="dxa" w:w="280"/>
              <w:bottom w:type="dxa" w:w="180"/>
              <w:right w:type="dxa" w:w="280"/>
            </w:tcMar>
          </w:tcPr>
          <w:p>
            <w:pPr>
              <w:spacing w:after="60" w:before="0"/>
            </w:pPr>
            <w:r>
              <w:rPr>
                <w:rFonts w:ascii="Arial" w:cs="Arial" w:eastAsia="Arial" w:hAnsi="Arial"/>
                <w:b/>
                <w:bCs/>
                <w:color w:val="016CEB"/>
                <w:sz w:val="22"/>
                <w:szCs w:val="22"/>
              </w:rPr>
              <w:t xml:space="preserve">🤝  Right Model</w:t>
            </w:r>
          </w:p>
          <w:p>
            <w:r>
              <w:rPr>
                <w:rFonts w:ascii="Arial" w:cs="Arial" w:eastAsia="Arial" w:hAnsi="Arial"/>
                <w:color w:val="000719"/>
                <w:sz w:val="20"/>
                <w:szCs w:val="20"/>
              </w:rPr>
              <w:t xml:space="preserve">Compliant cost-sharing proves the market with zero regulatory risk. Subscriptions and enterprise prove revenue. The data layer proves the moat. Commercial mode is built in, waiting for a licence — the cleanest possible acquisition story.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16CEB" w:val="clear"/>
            <w:tcMar>
              <w:top w:type="dxa" w:w="400"/>
              <w:left w:type="dxa" w:w="480"/>
              <w:bottom w:type="dxa" w:w="400"/>
              <w:right w:type="dxa" w:w="480"/>
            </w:tcMar>
          </w:tcPr>
          <w:p>
            <w:pPr>
              <w:jc w:val="center"/>
            </w:pPr>
            <w:r>
              <w:rPr>
                <w:rFonts w:ascii="Arial" w:cs="Arial" w:eastAsia="Arial" w:hAnsi="Arial"/>
                <w:b/>
                <w:bCs/>
                <w:color w:val="FFFFFF"/>
                <w:sz w:val="40"/>
                <w:szCs w:val="40"/>
              </w:rPr>
              <w:t xml:space="preserve">PoolD — بول دي</w:t>
            </w:r>
          </w:p>
          <w:p>
            <w:pPr>
              <w:spacing w:before="120"/>
              <w:jc w:val="center"/>
            </w:pPr>
            <w:r>
              <w:rPr>
                <w:rFonts w:ascii="Arial" w:cs="Arial" w:eastAsia="Arial" w:hAnsi="Arial"/>
                <w:i/>
                <w:iCs/>
                <w:color w:val="BFDBFE"/>
                <w:sz w:val="26"/>
                <w:szCs w:val="26"/>
              </w:rPr>
              <w:t xml:space="preserve">Moving the GCC, Together.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pPr>
    <w:r>
      <w:rPr>
        <w:rFonts w:ascii="Arial" w:cs="Arial" w:eastAsia="Arial" w:hAnsi="Arial"/>
        <w:color w:val="64748B"/>
        <w:sz w:val="18"/>
        <w:szCs w:val="18"/>
      </w:rPr>
      <w:t xml:space="preserve">© 2025 PoolD. All rights reserved.  |  Confidential — Not for Distribution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b/>
              <w:bCs/>
              <w:color w:val="016CEB"/>
              <w:sz w:val="24"/>
              <w:szCs w:val="24"/>
            </w:rPr>
            <w:t xml:space="preserve">PoolD</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i/>
              <w:iCs/>
              <w:color w:val="64748B"/>
              <w:sz w:val="18"/>
              <w:szCs w:val="18"/>
            </w:rPr>
            <w:t xml:space="preserve">Product Vision Document  |  Confidential</w:t>
          </w:r>
        </w:p>
      </w:tc>
    </w:tr>
  </w:tbl>
  <w:p>
    <w:pPr>
      <w:pBdr>
        <w:bottom w:val="single" w:color="016CEB" w:sz="3"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071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16C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2026-06-08T06:20:11.361Z</dcterms:created>
  <dcterms:modified xsi:type="dcterms:W3CDTF">2026-06-08T06:20:11.378Z</dcterms:modified>
</cp:coreProperties>
</file>

<file path=docProps/custom.xml><?xml version="1.0" encoding="utf-8"?>
<Properties xmlns="http://schemas.openxmlformats.org/officeDocument/2006/custom-properties" xmlns:vt="http://schemas.openxmlformats.org/officeDocument/2006/docPropsVTypes"/>
</file>