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caps/>
        </w:rPr>
        <w:id w:val="-147125984"/>
        <w:docPartObj>
          <w:docPartGallery w:val="Cover Pages"/>
          <w:docPartUnique/>
        </w:docPartObj>
      </w:sdtPr>
      <w:sdtEndPr>
        <w:rPr>
          <w:rFonts w:ascii="Calibri" w:eastAsiaTheme="minorHAnsi" w:hAnsi="Calibri" w:cs="Times New Roman"/>
          <w:caps w:val="0"/>
        </w:rPr>
      </w:sdtEndPr>
      <w:sdtContent>
        <w:tbl>
          <w:tblPr>
            <w:tblW w:w="5000" w:type="pct"/>
            <w:jc w:val="center"/>
            <w:tblLook w:val="04A0"/>
          </w:tblPr>
          <w:tblGrid>
            <w:gridCol w:w="9288"/>
          </w:tblGrid>
          <w:tr w:rsidR="00180E87">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Content>
                <w:tc>
                  <w:tcPr>
                    <w:tcW w:w="5000" w:type="pct"/>
                  </w:tcPr>
                  <w:p w:rsidR="00180E87" w:rsidRDefault="00D71503" w:rsidP="00D71503">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Master ii gestion financiere</w:t>
                    </w:r>
                  </w:p>
                </w:tc>
              </w:sdtContent>
            </w:sdt>
          </w:tr>
          <w:tr w:rsidR="00180E8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F07F09" w:themeColor="accent1"/>
                    </w:tcBorders>
                    <w:vAlign w:val="center"/>
                  </w:tcPr>
                  <w:p w:rsidR="00180E87" w:rsidRDefault="00AE1A66" w:rsidP="00D71503">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de St</w:t>
                    </w:r>
                    <w:r w:rsidR="008D640C">
                      <w:rPr>
                        <w:rFonts w:asciiTheme="majorHAnsi" w:eastAsiaTheme="majorEastAsia" w:hAnsiTheme="majorHAnsi" w:cstheme="majorBidi"/>
                        <w:sz w:val="80"/>
                        <w:szCs w:val="80"/>
                      </w:rPr>
                      <w:t>age</w:t>
                    </w:r>
                  </w:p>
                </w:tc>
              </w:sdtContent>
            </w:sdt>
          </w:tr>
          <w:tr w:rsidR="00180E87" w:rsidRPr="00FB200C">
            <w:trPr>
              <w:trHeight w:val="720"/>
              <w:jc w:val="center"/>
            </w:trPr>
            <w:sdt>
              <w:sdtPr>
                <w:rPr>
                  <w:rFonts w:asciiTheme="majorHAnsi" w:eastAsiaTheme="majorEastAsia" w:hAnsiTheme="majorHAnsi" w:cstheme="majorBidi"/>
                  <w:sz w:val="42"/>
                  <w:szCs w:val="4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F07F09" w:themeColor="accent1"/>
                    </w:tcBorders>
                    <w:vAlign w:val="center"/>
                  </w:tcPr>
                  <w:p w:rsidR="00180E87" w:rsidRPr="00FB200C" w:rsidRDefault="00D71503" w:rsidP="00D71503">
                    <w:pPr>
                      <w:pStyle w:val="Sansinterligne"/>
                      <w:jc w:val="center"/>
                      <w:rPr>
                        <w:rFonts w:asciiTheme="majorHAnsi" w:eastAsiaTheme="majorEastAsia" w:hAnsiTheme="majorHAnsi" w:cstheme="majorBidi"/>
                        <w:sz w:val="42"/>
                        <w:szCs w:val="42"/>
                      </w:rPr>
                    </w:pPr>
                    <w:r w:rsidRPr="00FB200C">
                      <w:rPr>
                        <w:rFonts w:asciiTheme="majorHAnsi" w:eastAsiaTheme="majorEastAsia" w:hAnsiTheme="majorHAnsi" w:cstheme="majorBidi"/>
                        <w:sz w:val="42"/>
                        <w:szCs w:val="42"/>
                      </w:rPr>
                      <w:t xml:space="preserve">Société Générale </w:t>
                    </w:r>
                    <w:proofErr w:type="spellStart"/>
                    <w:r w:rsidRPr="00FB200C">
                      <w:rPr>
                        <w:rFonts w:asciiTheme="majorHAnsi" w:eastAsiaTheme="majorEastAsia" w:hAnsiTheme="majorHAnsi" w:cstheme="majorBidi"/>
                        <w:sz w:val="42"/>
                        <w:szCs w:val="42"/>
                      </w:rPr>
                      <w:t>Corporate</w:t>
                    </w:r>
                    <w:proofErr w:type="spellEnd"/>
                    <w:r w:rsidRPr="00FB200C">
                      <w:rPr>
                        <w:rFonts w:asciiTheme="majorHAnsi" w:eastAsiaTheme="majorEastAsia" w:hAnsiTheme="majorHAnsi" w:cstheme="majorBidi"/>
                        <w:sz w:val="42"/>
                        <w:szCs w:val="42"/>
                      </w:rPr>
                      <w:t xml:space="preserve"> &amp; </w:t>
                    </w:r>
                    <w:proofErr w:type="spellStart"/>
                    <w:r w:rsidRPr="00FB200C">
                      <w:rPr>
                        <w:rFonts w:asciiTheme="majorHAnsi" w:eastAsiaTheme="majorEastAsia" w:hAnsiTheme="majorHAnsi" w:cstheme="majorBidi"/>
                        <w:sz w:val="42"/>
                        <w:szCs w:val="42"/>
                      </w:rPr>
                      <w:t>Investment</w:t>
                    </w:r>
                    <w:proofErr w:type="spellEnd"/>
                    <w:r w:rsidRPr="00FB200C">
                      <w:rPr>
                        <w:rFonts w:asciiTheme="majorHAnsi" w:eastAsiaTheme="majorEastAsia" w:hAnsiTheme="majorHAnsi" w:cstheme="majorBidi"/>
                        <w:sz w:val="42"/>
                        <w:szCs w:val="42"/>
                      </w:rPr>
                      <w:t xml:space="preserve"> </w:t>
                    </w:r>
                    <w:proofErr w:type="spellStart"/>
                    <w:r w:rsidRPr="00FB200C">
                      <w:rPr>
                        <w:rFonts w:asciiTheme="majorHAnsi" w:eastAsiaTheme="majorEastAsia" w:hAnsiTheme="majorHAnsi" w:cstheme="majorBidi"/>
                        <w:sz w:val="42"/>
                        <w:szCs w:val="42"/>
                      </w:rPr>
                      <w:t>Banking</w:t>
                    </w:r>
                    <w:proofErr w:type="spellEnd"/>
                  </w:p>
                </w:tc>
              </w:sdtContent>
            </w:sdt>
          </w:tr>
          <w:tr w:rsidR="00180E87">
            <w:trPr>
              <w:trHeight w:val="360"/>
              <w:jc w:val="center"/>
            </w:trPr>
            <w:tc>
              <w:tcPr>
                <w:tcW w:w="5000" w:type="pct"/>
                <w:vAlign w:val="center"/>
              </w:tcPr>
              <w:p w:rsidR="00FB200C" w:rsidRDefault="00FB200C">
                <w:pPr>
                  <w:pStyle w:val="Sansinterligne"/>
                  <w:jc w:val="center"/>
                </w:pPr>
                <w:r>
                  <w:rPr>
                    <w:noProof/>
                    <w:lang w:eastAsia="fr-FR"/>
                  </w:rPr>
                  <w:drawing>
                    <wp:inline distT="0" distB="0" distL="0" distR="0">
                      <wp:extent cx="516835" cy="515044"/>
                      <wp:effectExtent l="0" t="0" r="0" b="0"/>
                      <wp:docPr id="6" name="Image 6" descr="https://si0.twimg.com/profile_images/1266780377/Logo_Soci_t__G_n_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0.twimg.com/profile_images/1266780377/Logo_Soci_t__G_n_rale.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8331" cy="516535"/>
                              </a:xfrm>
                              <a:prstGeom prst="rect">
                                <a:avLst/>
                              </a:prstGeom>
                              <a:noFill/>
                              <a:ln>
                                <a:noFill/>
                              </a:ln>
                            </pic:spPr>
                          </pic:pic>
                        </a:graphicData>
                      </a:graphic>
                    </wp:inline>
                  </w:drawing>
                </w: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AE1A66" w:rsidRDefault="00AE1A66">
                <w:pPr>
                  <w:pStyle w:val="Sansinterligne"/>
                  <w:jc w:val="center"/>
                </w:pPr>
              </w:p>
              <w:p w:rsidR="00633A25" w:rsidRDefault="00633A25">
                <w:pPr>
                  <w:pStyle w:val="Sansinterligne"/>
                  <w:jc w:val="center"/>
                </w:pPr>
                <w:r>
                  <w:t xml:space="preserve">Responsable de Master : </w:t>
                </w:r>
              </w:p>
              <w:p w:rsidR="00180E87" w:rsidRPr="00633A25" w:rsidRDefault="00633A25">
                <w:pPr>
                  <w:pStyle w:val="Sansinterligne"/>
                  <w:jc w:val="center"/>
                  <w:rPr>
                    <w:b/>
                  </w:rPr>
                </w:pPr>
                <w:r w:rsidRPr="00633A25">
                  <w:rPr>
                    <w:b/>
                  </w:rPr>
                  <w:t>Dominique JACQUET</w:t>
                </w:r>
              </w:p>
              <w:p w:rsidR="00633A25" w:rsidRDefault="00633A25">
                <w:pPr>
                  <w:pStyle w:val="Sansinterligne"/>
                  <w:jc w:val="center"/>
                </w:pPr>
                <w:r>
                  <w:t>Etudiant :</w:t>
                </w:r>
              </w:p>
            </w:tc>
          </w:tr>
          <w:tr w:rsidR="00180E87">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80E87" w:rsidRDefault="00D71503" w:rsidP="00D71503">
                    <w:pPr>
                      <w:pStyle w:val="Sansinterligne"/>
                      <w:jc w:val="center"/>
                      <w:rPr>
                        <w:b/>
                        <w:bCs/>
                      </w:rPr>
                    </w:pPr>
                    <w:proofErr w:type="spellStart"/>
                    <w:r>
                      <w:rPr>
                        <w:b/>
                        <w:bCs/>
                      </w:rPr>
                      <w:t>Bilel</w:t>
                    </w:r>
                    <w:proofErr w:type="spellEnd"/>
                    <w:r>
                      <w:rPr>
                        <w:b/>
                        <w:bCs/>
                      </w:rPr>
                      <w:t xml:space="preserve"> OUALI</w:t>
                    </w:r>
                  </w:p>
                </w:tc>
              </w:sdtContent>
            </w:sdt>
          </w:tr>
          <w:tr w:rsidR="00180E87">
            <w:trPr>
              <w:trHeight w:val="360"/>
              <w:jc w:val="center"/>
            </w:trPr>
            <w:tc>
              <w:tcPr>
                <w:tcW w:w="5000" w:type="pct"/>
                <w:vAlign w:val="center"/>
              </w:tcPr>
              <w:p w:rsidR="00180E87" w:rsidRDefault="00180E87" w:rsidP="00D71503">
                <w:pPr>
                  <w:pStyle w:val="Sansinterligne"/>
                  <w:jc w:val="center"/>
                  <w:rPr>
                    <w:b/>
                    <w:bCs/>
                  </w:rPr>
                </w:pPr>
              </w:p>
            </w:tc>
          </w:tr>
        </w:tbl>
        <w:p w:rsidR="00180E87" w:rsidRDefault="00180E87"/>
        <w:p w:rsidR="00180E87" w:rsidRDefault="00180E87"/>
        <w:tbl>
          <w:tblPr>
            <w:tblpPr w:leftFromText="187" w:rightFromText="187" w:horzAnchor="margin" w:tblpXSpec="center" w:tblpYSpec="bottom"/>
            <w:tblW w:w="5000" w:type="pct"/>
            <w:tblLook w:val="04A0"/>
          </w:tblPr>
          <w:tblGrid>
            <w:gridCol w:w="9288"/>
          </w:tblGrid>
          <w:tr w:rsidR="00180E87">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180E87" w:rsidRDefault="00D71503" w:rsidP="00D71503">
                    <w:pPr>
                      <w:pStyle w:val="Sansinterligne"/>
                    </w:pPr>
                    <w:r>
                      <w:t>Rapport de stage de fin d’étude au sein du département de financements d’actifs en financements structurés de la Société Générale CIB.</w:t>
                    </w:r>
                  </w:p>
                </w:tc>
              </w:sdtContent>
            </w:sdt>
          </w:tr>
        </w:tbl>
        <w:p w:rsidR="00180E87" w:rsidRDefault="00180E87"/>
        <w:p w:rsidR="00180E87" w:rsidRDefault="00180E87">
          <w:pPr>
            <w:rPr>
              <w:rFonts w:asciiTheme="majorHAnsi" w:eastAsiaTheme="majorEastAsia" w:hAnsiTheme="majorHAnsi" w:cstheme="majorBidi"/>
              <w:b/>
              <w:bCs/>
              <w:color w:val="B35E06" w:themeColor="accent1" w:themeShade="BF"/>
              <w:sz w:val="28"/>
              <w:szCs w:val="28"/>
            </w:rPr>
          </w:pPr>
          <w:r>
            <w:br w:type="page"/>
          </w:r>
        </w:p>
      </w:sdtContent>
    </w:sdt>
    <w:p w:rsidR="00BE1DCC" w:rsidRDefault="00210E69" w:rsidP="002F5D9F">
      <w:pPr>
        <w:pStyle w:val="Titre1"/>
      </w:pPr>
      <w:bookmarkStart w:id="1" w:name="_Toc368697780"/>
      <w:r>
        <w:lastRenderedPageBreak/>
        <w:t>Introduction</w:t>
      </w:r>
      <w:bookmarkEnd w:id="1"/>
    </w:p>
    <w:p w:rsidR="00D74B6B" w:rsidRDefault="0005615F" w:rsidP="004F292E">
      <w:pPr>
        <w:jc w:val="both"/>
      </w:pPr>
      <w:r>
        <w:t>Au cours de mon stage de fin d’étude, j’ai eu l’honneur d’intégrer l’équipe Pilotage et Projet du département des financements structurés de la Société Générale CIB. Ce stage m’a permi</w:t>
      </w:r>
      <w:r w:rsidR="00A607D1">
        <w:t>s entre autre</w:t>
      </w:r>
      <w:r>
        <w:t xml:space="preserve"> de faire la connaissance du monde d</w:t>
      </w:r>
      <w:r w:rsidR="00A607D1">
        <w:t>es</w:t>
      </w:r>
      <w:r>
        <w:t xml:space="preserve"> financement</w:t>
      </w:r>
      <w:r w:rsidR="00A607D1">
        <w:t>s</w:t>
      </w:r>
      <w:r>
        <w:t xml:space="preserve"> d’actif</w:t>
      </w:r>
      <w:r w:rsidR="00A607D1">
        <w:t>s</w:t>
      </w:r>
      <w:r>
        <w:t xml:space="preserve"> et de ses différentes variantes.</w:t>
      </w:r>
    </w:p>
    <w:p w:rsidR="002F5D9F" w:rsidRDefault="0005615F" w:rsidP="004F292E">
      <w:pPr>
        <w:jc w:val="both"/>
      </w:pPr>
      <w:r>
        <w:t>Au-delà de côtoyer pendant six mois les effectifs d’une grande banque d’investiss</w:t>
      </w:r>
      <w:r w:rsidR="00210E69">
        <w:t xml:space="preserve">ement, de m’adapter à leur méthode de travail et leur rigueur, j’ai eu l’opportunité de découvrir les modélisations de crédit complexes, de </w:t>
      </w:r>
      <w:r>
        <w:t>me v</w:t>
      </w:r>
      <w:r w:rsidR="00D74B6B">
        <w:t>oir confier</w:t>
      </w:r>
      <w:r>
        <w:t xml:space="preserve"> des tâches aussi diverses qu’enrichissantes</w:t>
      </w:r>
      <w:r w:rsidR="00A607D1">
        <w:t> ;</w:t>
      </w:r>
      <w:r>
        <w:t xml:space="preserve"> de l’étude d’évolutions d’un portefeuille d’actif à la découverte de la gestion de projet.</w:t>
      </w:r>
    </w:p>
    <w:p w:rsidR="0005615F" w:rsidRDefault="0005615F" w:rsidP="004F292E">
      <w:pPr>
        <w:jc w:val="both"/>
      </w:pPr>
      <w:r>
        <w:t>L’événement le plus marquant de cet apprentissage a été s</w:t>
      </w:r>
      <w:r w:rsidR="00D74B6B">
        <w:t xml:space="preserve">ans nul doute de me voir </w:t>
      </w:r>
      <w:r>
        <w:t>charge</w:t>
      </w:r>
      <w:r w:rsidR="00D74B6B">
        <w:t>r</w:t>
      </w:r>
      <w:r>
        <w:t xml:space="preserve"> d’un projet de refon</w:t>
      </w:r>
      <w:r w:rsidR="00D74B6B">
        <w:t>te de reports</w:t>
      </w:r>
      <w:r w:rsidR="00A607D1">
        <w:t>. Celui-ci</w:t>
      </w:r>
      <w:r>
        <w:t xml:space="preserve"> m’a donné l’opportunité </w:t>
      </w:r>
      <w:r w:rsidR="00D74B6B">
        <w:t>de me familiariser avec les méthode</w:t>
      </w:r>
      <w:r w:rsidR="00B57E95">
        <w:t>s</w:t>
      </w:r>
      <w:r w:rsidR="00D74B6B">
        <w:t xml:space="preserve"> agiles </w:t>
      </w:r>
      <w:r w:rsidR="00B57E95">
        <w:t xml:space="preserve">en </w:t>
      </w:r>
      <w:r w:rsidR="00D74B6B">
        <w:t xml:space="preserve">gestion de projet, </w:t>
      </w:r>
      <w:r>
        <w:t xml:space="preserve">mais aussi </w:t>
      </w:r>
      <w:r w:rsidR="00D74B6B">
        <w:t xml:space="preserve">d’acquérir des connaissances sur </w:t>
      </w:r>
      <w:r w:rsidR="00210E69">
        <w:t xml:space="preserve">l’utilisation de Business </w:t>
      </w:r>
      <w:proofErr w:type="spellStart"/>
      <w:r w:rsidR="00210E69">
        <w:t>Obje</w:t>
      </w:r>
      <w:r w:rsidR="00DB1096">
        <w:t>cts</w:t>
      </w:r>
      <w:proofErr w:type="spellEnd"/>
      <w:r w:rsidR="00DB1096">
        <w:t xml:space="preserve">, outil de construction de requêtes et de rapport d’analyse </w:t>
      </w:r>
      <w:r w:rsidR="00A607D1">
        <w:t>d</w:t>
      </w:r>
      <w:r w:rsidR="00DB1096">
        <w:t>e</w:t>
      </w:r>
      <w:r w:rsidR="00A607D1">
        <w:t>s</w:t>
      </w:r>
      <w:r w:rsidR="00DB1096">
        <w:t xml:space="preserve"> plus puissant</w:t>
      </w:r>
      <w:r w:rsidR="00A607D1">
        <w:t>s</w:t>
      </w:r>
      <w:r w:rsidR="00DB1096">
        <w:t xml:space="preserve"> de l’informatique décisionnelle.</w:t>
      </w:r>
    </w:p>
    <w:p w:rsidR="0005615F" w:rsidRDefault="0005615F" w:rsidP="004F292E">
      <w:pPr>
        <w:jc w:val="both"/>
      </w:pPr>
      <w:r>
        <w:t xml:space="preserve">Aussi, l’interaction avec de nombreux départements tels que ITEC m’a permis </w:t>
      </w:r>
      <w:r w:rsidR="00C86AAA">
        <w:t>de m’épanouir dans l</w:t>
      </w:r>
      <w:r w:rsidR="00DB1096">
        <w:t xml:space="preserve">e vaste </w:t>
      </w:r>
      <w:r w:rsidR="00C86AAA">
        <w:t xml:space="preserve">univers </w:t>
      </w:r>
      <w:r>
        <w:t xml:space="preserve">des </w:t>
      </w:r>
      <w:r w:rsidR="00253C69">
        <w:t>systèmes d’information</w:t>
      </w:r>
      <w:r w:rsidR="00DB1096">
        <w:t xml:space="preserve"> et du data</w:t>
      </w:r>
      <w:r w:rsidR="00210E69">
        <w:t>, expérience qui a finalement débouché sur une embauche dans ce département.</w:t>
      </w:r>
    </w:p>
    <w:p w:rsidR="00210E69" w:rsidRDefault="00DC01C5" w:rsidP="00243A10">
      <w:r>
        <w:t>J’aimerais enfin remercier l’ensemble du personnel du département SMO/IAB de la SG-CIB et particulièrement l’</w:t>
      </w:r>
      <w:r w:rsidR="006354CB">
        <w:t xml:space="preserve">équipe Pilotage et Projet : mes deux maitres de stage </w:t>
      </w:r>
      <w:r w:rsidR="006354CB" w:rsidRPr="00A607D1">
        <w:rPr>
          <w:b/>
        </w:rPr>
        <w:t>Camille D’ALTON</w:t>
      </w:r>
      <w:r w:rsidR="006354CB">
        <w:t xml:space="preserve"> et </w:t>
      </w:r>
      <w:r w:rsidR="006354CB" w:rsidRPr="00A607D1">
        <w:rPr>
          <w:b/>
        </w:rPr>
        <w:t>Laurent HORVILLEUR</w:t>
      </w:r>
      <w:r w:rsidR="006354CB">
        <w:t xml:space="preserve"> pour leur management de qualité et leur infinie générosité ; </w:t>
      </w:r>
      <w:proofErr w:type="spellStart"/>
      <w:r w:rsidR="006354CB" w:rsidRPr="00A607D1">
        <w:rPr>
          <w:b/>
        </w:rPr>
        <w:t>Achraf</w:t>
      </w:r>
      <w:proofErr w:type="spellEnd"/>
      <w:r w:rsidR="006354CB" w:rsidRPr="00A607D1">
        <w:rPr>
          <w:b/>
        </w:rPr>
        <w:t xml:space="preserve"> ZAKI</w:t>
      </w:r>
      <w:r w:rsidR="006354CB">
        <w:t xml:space="preserve"> pour m’avoir pris sous son aile et patiemment initié aux financements structurés.</w:t>
      </w:r>
    </w:p>
    <w:p w:rsidR="00210E69" w:rsidRDefault="00210E69" w:rsidP="00243A10"/>
    <w:p w:rsidR="00180E87" w:rsidRDefault="00180E87" w:rsidP="002F5D9F"/>
    <w:p w:rsidR="00180E87" w:rsidRDefault="00180E87">
      <w:r>
        <w:br w:type="page"/>
      </w:r>
    </w:p>
    <w:bookmarkStart w:id="2" w:name="_Toc368697781" w:displacedByCustomXml="next"/>
    <w:sdt>
      <w:sdtPr>
        <w:rPr>
          <w:rFonts w:ascii="Calibri" w:eastAsiaTheme="minorHAnsi" w:hAnsi="Calibri" w:cs="Times New Roman"/>
          <w:b w:val="0"/>
          <w:bCs w:val="0"/>
          <w:color w:val="auto"/>
          <w:sz w:val="22"/>
          <w:szCs w:val="22"/>
        </w:rPr>
        <w:id w:val="1125659679"/>
        <w:docPartObj>
          <w:docPartGallery w:val="Table of Contents"/>
          <w:docPartUnique/>
        </w:docPartObj>
      </w:sdtPr>
      <w:sdtContent>
        <w:p w:rsidR="002F5D9F" w:rsidRDefault="002F5D9F" w:rsidP="002F5D9F">
          <w:pPr>
            <w:pStyle w:val="Titre1"/>
          </w:pPr>
          <w:r>
            <w:t>Sommaire</w:t>
          </w:r>
          <w:bookmarkEnd w:id="2"/>
        </w:p>
        <w:p w:rsidR="0005483B" w:rsidRDefault="005603B7">
          <w:pPr>
            <w:pStyle w:val="TM1"/>
            <w:tabs>
              <w:tab w:val="right" w:leader="dot" w:pos="9062"/>
            </w:tabs>
            <w:rPr>
              <w:rFonts w:asciiTheme="minorHAnsi" w:eastAsiaTheme="minorEastAsia" w:hAnsiTheme="minorHAnsi" w:cstheme="minorBidi"/>
              <w:noProof/>
              <w:lang w:eastAsia="fr-FR"/>
            </w:rPr>
          </w:pPr>
          <w:r w:rsidRPr="005603B7">
            <w:fldChar w:fldCharType="begin"/>
          </w:r>
          <w:r w:rsidR="002F5D9F">
            <w:instrText xml:space="preserve"> TOC \o "1-3" \h \z \u </w:instrText>
          </w:r>
          <w:r w:rsidRPr="005603B7">
            <w:fldChar w:fldCharType="separate"/>
          </w:r>
          <w:hyperlink w:anchor="_Toc368697780" w:history="1">
            <w:r w:rsidR="00545EA3">
              <w:rPr>
                <w:rStyle w:val="Lienhypertexte"/>
                <w:noProof/>
              </w:rPr>
              <w:t>Introduction .</w:t>
            </w:r>
            <w:r w:rsidR="0005483B">
              <w:rPr>
                <w:noProof/>
                <w:webHidden/>
              </w:rPr>
              <w:tab/>
            </w:r>
            <w:r>
              <w:rPr>
                <w:noProof/>
                <w:webHidden/>
              </w:rPr>
              <w:fldChar w:fldCharType="begin"/>
            </w:r>
            <w:r w:rsidR="0005483B">
              <w:rPr>
                <w:noProof/>
                <w:webHidden/>
              </w:rPr>
              <w:instrText xml:space="preserve"> PAGEREF _Toc368697780 \h </w:instrText>
            </w:r>
            <w:r>
              <w:rPr>
                <w:noProof/>
                <w:webHidden/>
              </w:rPr>
            </w:r>
            <w:r>
              <w:rPr>
                <w:noProof/>
                <w:webHidden/>
              </w:rPr>
              <w:fldChar w:fldCharType="separate"/>
            </w:r>
            <w:r w:rsidR="00545EA3">
              <w:rPr>
                <w:noProof/>
                <w:webHidden/>
              </w:rPr>
              <w:t>1</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781" w:history="1">
            <w:r w:rsidR="0005483B" w:rsidRPr="00B27813">
              <w:rPr>
                <w:rStyle w:val="Lienhypertexte"/>
                <w:noProof/>
              </w:rPr>
              <w:t>Sommaire</w:t>
            </w:r>
            <w:r w:rsidR="0005483B">
              <w:rPr>
                <w:noProof/>
                <w:webHidden/>
              </w:rPr>
              <w:tab/>
            </w:r>
            <w:r>
              <w:rPr>
                <w:noProof/>
                <w:webHidden/>
              </w:rPr>
              <w:fldChar w:fldCharType="begin"/>
            </w:r>
            <w:r w:rsidR="0005483B">
              <w:rPr>
                <w:noProof/>
                <w:webHidden/>
              </w:rPr>
              <w:instrText xml:space="preserve"> PAGEREF _Toc368697781 \h </w:instrText>
            </w:r>
            <w:r>
              <w:rPr>
                <w:noProof/>
                <w:webHidden/>
              </w:rPr>
            </w:r>
            <w:r>
              <w:rPr>
                <w:noProof/>
                <w:webHidden/>
              </w:rPr>
              <w:fldChar w:fldCharType="separate"/>
            </w:r>
            <w:r w:rsidR="00545EA3">
              <w:rPr>
                <w:noProof/>
                <w:webHidden/>
              </w:rPr>
              <w:t>2</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782" w:history="1">
            <w:r w:rsidR="0005483B" w:rsidRPr="00B27813">
              <w:rPr>
                <w:rStyle w:val="Lienhypertexte"/>
                <w:noProof/>
              </w:rPr>
              <w:t>Présentation de la structure d’accueil</w:t>
            </w:r>
            <w:r w:rsidR="0005483B">
              <w:rPr>
                <w:noProof/>
                <w:webHidden/>
              </w:rPr>
              <w:tab/>
            </w:r>
            <w:r>
              <w:rPr>
                <w:noProof/>
                <w:webHidden/>
              </w:rPr>
              <w:fldChar w:fldCharType="begin"/>
            </w:r>
            <w:r w:rsidR="0005483B">
              <w:rPr>
                <w:noProof/>
                <w:webHidden/>
              </w:rPr>
              <w:instrText xml:space="preserve"> PAGEREF _Toc368697782 \h </w:instrText>
            </w:r>
            <w:r>
              <w:rPr>
                <w:noProof/>
                <w:webHidden/>
              </w:rPr>
            </w:r>
            <w:r>
              <w:rPr>
                <w:noProof/>
                <w:webHidden/>
              </w:rPr>
              <w:fldChar w:fldCharType="separate"/>
            </w:r>
            <w:r w:rsidR="00545EA3">
              <w:rPr>
                <w:noProof/>
                <w:webHidden/>
              </w:rPr>
              <w:t>3</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783" w:history="1">
            <w:r w:rsidR="0005483B" w:rsidRPr="00B27813">
              <w:rPr>
                <w:rStyle w:val="Lienhypertexte"/>
                <w:noProof/>
              </w:rPr>
              <w:t>Type et techniques de financement au sein d’OPER</w:t>
            </w:r>
            <w:r w:rsidR="0005483B">
              <w:rPr>
                <w:noProof/>
                <w:webHidden/>
              </w:rPr>
              <w:tab/>
            </w:r>
            <w:r>
              <w:rPr>
                <w:noProof/>
                <w:webHidden/>
              </w:rPr>
              <w:fldChar w:fldCharType="begin"/>
            </w:r>
            <w:r w:rsidR="0005483B">
              <w:rPr>
                <w:noProof/>
                <w:webHidden/>
              </w:rPr>
              <w:instrText xml:space="preserve"> PAGEREF _Toc368697783 \h </w:instrText>
            </w:r>
            <w:r>
              <w:rPr>
                <w:noProof/>
                <w:webHidden/>
              </w:rPr>
            </w:r>
            <w:r>
              <w:rPr>
                <w:noProof/>
                <w:webHidden/>
              </w:rPr>
              <w:fldChar w:fldCharType="separate"/>
            </w:r>
            <w:r w:rsidR="00545EA3">
              <w:rPr>
                <w:noProof/>
                <w:webHidden/>
              </w:rPr>
              <w:t>4</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792" w:history="1">
            <w:r w:rsidR="0005483B" w:rsidRPr="00B27813">
              <w:rPr>
                <w:rStyle w:val="Lienhypertexte"/>
                <w:noProof/>
              </w:rPr>
              <w:t>Structuration d’une opération de leasing en financements structurés</w:t>
            </w:r>
            <w:r w:rsidR="0005483B">
              <w:rPr>
                <w:noProof/>
                <w:webHidden/>
              </w:rPr>
              <w:tab/>
            </w:r>
            <w:r>
              <w:rPr>
                <w:noProof/>
                <w:webHidden/>
              </w:rPr>
              <w:fldChar w:fldCharType="begin"/>
            </w:r>
            <w:r w:rsidR="0005483B">
              <w:rPr>
                <w:noProof/>
                <w:webHidden/>
              </w:rPr>
              <w:instrText xml:space="preserve"> PAGEREF _Toc368697792 \h </w:instrText>
            </w:r>
            <w:r>
              <w:rPr>
                <w:noProof/>
                <w:webHidden/>
              </w:rPr>
            </w:r>
            <w:r>
              <w:rPr>
                <w:noProof/>
                <w:webHidden/>
              </w:rPr>
              <w:fldChar w:fldCharType="separate"/>
            </w:r>
            <w:r w:rsidR="00545EA3">
              <w:rPr>
                <w:noProof/>
                <w:webHidden/>
              </w:rPr>
              <w:t>5</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793" w:history="1">
            <w:r w:rsidR="0005483B" w:rsidRPr="00B27813">
              <w:rPr>
                <w:rStyle w:val="Lienhypertexte"/>
                <w:noProof/>
              </w:rPr>
              <w:t>Principales caractéristiques du financement « leasing » au sein de SGCIB</w:t>
            </w:r>
            <w:r w:rsidR="0005483B">
              <w:rPr>
                <w:noProof/>
                <w:webHidden/>
              </w:rPr>
              <w:tab/>
            </w:r>
            <w:r>
              <w:rPr>
                <w:noProof/>
                <w:webHidden/>
              </w:rPr>
              <w:fldChar w:fldCharType="begin"/>
            </w:r>
            <w:r w:rsidR="0005483B">
              <w:rPr>
                <w:noProof/>
                <w:webHidden/>
              </w:rPr>
              <w:instrText xml:space="preserve"> PAGEREF _Toc368697793 \h </w:instrText>
            </w:r>
            <w:r>
              <w:rPr>
                <w:noProof/>
                <w:webHidden/>
              </w:rPr>
            </w:r>
            <w:r>
              <w:rPr>
                <w:noProof/>
                <w:webHidden/>
              </w:rPr>
              <w:fldChar w:fldCharType="separate"/>
            </w:r>
            <w:r w:rsidR="00545EA3">
              <w:rPr>
                <w:noProof/>
                <w:webHidden/>
              </w:rPr>
              <w:t>5</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794" w:history="1">
            <w:r w:rsidR="0005483B" w:rsidRPr="00B27813">
              <w:rPr>
                <w:rStyle w:val="Lienhypertexte"/>
                <w:noProof/>
              </w:rPr>
              <w:t xml:space="preserve">Comparatif avec les financements corporate </w:t>
            </w:r>
            <w:r w:rsidR="00320533">
              <w:rPr>
                <w:rStyle w:val="Lienhypertexte"/>
                <w:noProof/>
              </w:rPr>
              <w:t>«</w:t>
            </w:r>
            <w:r w:rsidR="0005483B" w:rsidRPr="00B27813">
              <w:rPr>
                <w:rStyle w:val="Lienhypertexte"/>
                <w:noProof/>
              </w:rPr>
              <w:t>vanille</w:t>
            </w:r>
            <w:r w:rsidR="00320533">
              <w:rPr>
                <w:rStyle w:val="Lienhypertexte"/>
                <w:noProof/>
              </w:rPr>
              <w:t>»</w:t>
            </w:r>
            <w:r w:rsidR="0005483B">
              <w:rPr>
                <w:noProof/>
                <w:webHidden/>
              </w:rPr>
              <w:tab/>
            </w:r>
            <w:r>
              <w:rPr>
                <w:noProof/>
                <w:webHidden/>
              </w:rPr>
              <w:fldChar w:fldCharType="begin"/>
            </w:r>
            <w:r w:rsidR="0005483B">
              <w:rPr>
                <w:noProof/>
                <w:webHidden/>
              </w:rPr>
              <w:instrText xml:space="preserve"> PAGEREF _Toc368697794 \h </w:instrText>
            </w:r>
            <w:r>
              <w:rPr>
                <w:noProof/>
                <w:webHidden/>
              </w:rPr>
            </w:r>
            <w:r>
              <w:rPr>
                <w:noProof/>
                <w:webHidden/>
              </w:rPr>
              <w:fldChar w:fldCharType="separate"/>
            </w:r>
            <w:r w:rsidR="00545EA3">
              <w:rPr>
                <w:noProof/>
                <w:webHidden/>
              </w:rPr>
              <w:t>5</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795" w:history="1">
            <w:r w:rsidR="0005483B" w:rsidRPr="00B27813">
              <w:rPr>
                <w:rStyle w:val="Lienhypertexte"/>
                <w:noProof/>
              </w:rPr>
              <w:t>Schéma générique du leasing</w:t>
            </w:r>
            <w:r w:rsidR="0005483B">
              <w:rPr>
                <w:noProof/>
                <w:webHidden/>
              </w:rPr>
              <w:tab/>
            </w:r>
            <w:r>
              <w:rPr>
                <w:noProof/>
                <w:webHidden/>
              </w:rPr>
              <w:fldChar w:fldCharType="begin"/>
            </w:r>
            <w:r w:rsidR="0005483B">
              <w:rPr>
                <w:noProof/>
                <w:webHidden/>
              </w:rPr>
              <w:instrText xml:space="preserve"> PAGEREF _Toc368697795 \h </w:instrText>
            </w:r>
            <w:r>
              <w:rPr>
                <w:noProof/>
                <w:webHidden/>
              </w:rPr>
            </w:r>
            <w:r>
              <w:rPr>
                <w:noProof/>
                <w:webHidden/>
              </w:rPr>
              <w:fldChar w:fldCharType="separate"/>
            </w:r>
            <w:r w:rsidR="00545EA3">
              <w:rPr>
                <w:noProof/>
                <w:webHidden/>
              </w:rPr>
              <w:t>6</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796" w:history="1">
            <w:r w:rsidR="0005483B" w:rsidRPr="00B27813">
              <w:rPr>
                <w:rStyle w:val="Lienhypertexte"/>
                <w:noProof/>
              </w:rPr>
              <w:t>Les particularités du leasing fiscal</w:t>
            </w:r>
            <w:r w:rsidR="0005483B">
              <w:rPr>
                <w:noProof/>
                <w:webHidden/>
              </w:rPr>
              <w:tab/>
            </w:r>
            <w:r>
              <w:rPr>
                <w:noProof/>
                <w:webHidden/>
              </w:rPr>
              <w:fldChar w:fldCharType="begin"/>
            </w:r>
            <w:r w:rsidR="0005483B">
              <w:rPr>
                <w:noProof/>
                <w:webHidden/>
              </w:rPr>
              <w:instrText xml:space="preserve"> PAGEREF _Toc368697796 \h </w:instrText>
            </w:r>
            <w:r>
              <w:rPr>
                <w:noProof/>
                <w:webHidden/>
              </w:rPr>
            </w:r>
            <w:r>
              <w:rPr>
                <w:noProof/>
                <w:webHidden/>
              </w:rPr>
              <w:fldChar w:fldCharType="separate"/>
            </w:r>
            <w:r w:rsidR="00545EA3">
              <w:rPr>
                <w:noProof/>
                <w:webHidden/>
              </w:rPr>
              <w:t>7</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797" w:history="1">
            <w:r w:rsidR="0005483B" w:rsidRPr="00B27813">
              <w:rPr>
                <w:rStyle w:val="Lienhypertexte"/>
                <w:noProof/>
              </w:rPr>
              <w:t>Economie temporaire d’impôts</w:t>
            </w:r>
            <w:r w:rsidR="0005483B">
              <w:rPr>
                <w:noProof/>
                <w:webHidden/>
              </w:rPr>
              <w:tab/>
            </w:r>
            <w:r>
              <w:rPr>
                <w:noProof/>
                <w:webHidden/>
              </w:rPr>
              <w:fldChar w:fldCharType="begin"/>
            </w:r>
            <w:r w:rsidR="0005483B">
              <w:rPr>
                <w:noProof/>
                <w:webHidden/>
              </w:rPr>
              <w:instrText xml:space="preserve"> PAGEREF _Toc368697797 \h </w:instrText>
            </w:r>
            <w:r>
              <w:rPr>
                <w:noProof/>
                <w:webHidden/>
              </w:rPr>
            </w:r>
            <w:r>
              <w:rPr>
                <w:noProof/>
                <w:webHidden/>
              </w:rPr>
              <w:fldChar w:fldCharType="separate"/>
            </w:r>
            <w:r w:rsidR="00545EA3">
              <w:rPr>
                <w:noProof/>
                <w:webHidden/>
              </w:rPr>
              <w:t>7</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800" w:history="1">
            <w:r w:rsidR="0005483B" w:rsidRPr="00B27813">
              <w:rPr>
                <w:rStyle w:val="Lienhypertexte"/>
                <w:noProof/>
              </w:rPr>
              <w:t>L’économie définitive d’impôts</w:t>
            </w:r>
            <w:r w:rsidR="0005483B">
              <w:rPr>
                <w:noProof/>
                <w:webHidden/>
              </w:rPr>
              <w:tab/>
            </w:r>
            <w:r>
              <w:rPr>
                <w:noProof/>
                <w:webHidden/>
              </w:rPr>
              <w:fldChar w:fldCharType="begin"/>
            </w:r>
            <w:r w:rsidR="0005483B">
              <w:rPr>
                <w:noProof/>
                <w:webHidden/>
              </w:rPr>
              <w:instrText xml:space="preserve"> PAGEREF _Toc368697800 \h </w:instrText>
            </w:r>
            <w:r>
              <w:rPr>
                <w:noProof/>
                <w:webHidden/>
              </w:rPr>
            </w:r>
            <w:r>
              <w:rPr>
                <w:noProof/>
                <w:webHidden/>
              </w:rPr>
              <w:fldChar w:fldCharType="separate"/>
            </w:r>
            <w:r w:rsidR="00545EA3">
              <w:rPr>
                <w:noProof/>
                <w:webHidden/>
              </w:rPr>
              <w:t>8</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801" w:history="1">
            <w:r w:rsidR="0005483B" w:rsidRPr="00B27813">
              <w:rPr>
                <w:rStyle w:val="Lienhypertexte"/>
                <w:noProof/>
              </w:rPr>
              <w:t>Les risques liés aux opérations de leasing</w:t>
            </w:r>
            <w:r w:rsidR="0005483B">
              <w:rPr>
                <w:noProof/>
                <w:webHidden/>
              </w:rPr>
              <w:tab/>
            </w:r>
            <w:r>
              <w:rPr>
                <w:noProof/>
                <w:webHidden/>
              </w:rPr>
              <w:fldChar w:fldCharType="begin"/>
            </w:r>
            <w:r w:rsidR="0005483B">
              <w:rPr>
                <w:noProof/>
                <w:webHidden/>
              </w:rPr>
              <w:instrText xml:space="preserve"> PAGEREF _Toc368697801 \h </w:instrText>
            </w:r>
            <w:r>
              <w:rPr>
                <w:noProof/>
                <w:webHidden/>
              </w:rPr>
            </w:r>
            <w:r>
              <w:rPr>
                <w:noProof/>
                <w:webHidden/>
              </w:rPr>
              <w:fldChar w:fldCharType="separate"/>
            </w:r>
            <w:r w:rsidR="00545EA3">
              <w:rPr>
                <w:noProof/>
                <w:webHidden/>
              </w:rPr>
              <w:t>9</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802" w:history="1">
            <w:r w:rsidR="0005483B" w:rsidRPr="00B27813">
              <w:rPr>
                <w:rStyle w:val="Lienhypertexte"/>
                <w:noProof/>
              </w:rPr>
              <w:t>Principaux risques de crédit</w:t>
            </w:r>
            <w:r w:rsidR="0005483B">
              <w:rPr>
                <w:noProof/>
                <w:webHidden/>
              </w:rPr>
              <w:tab/>
            </w:r>
            <w:r>
              <w:rPr>
                <w:noProof/>
                <w:webHidden/>
              </w:rPr>
              <w:fldChar w:fldCharType="begin"/>
            </w:r>
            <w:r w:rsidR="0005483B">
              <w:rPr>
                <w:noProof/>
                <w:webHidden/>
              </w:rPr>
              <w:instrText xml:space="preserve"> PAGEREF _Toc368697802 \h </w:instrText>
            </w:r>
            <w:r>
              <w:rPr>
                <w:noProof/>
                <w:webHidden/>
              </w:rPr>
            </w:r>
            <w:r>
              <w:rPr>
                <w:noProof/>
                <w:webHidden/>
              </w:rPr>
              <w:fldChar w:fldCharType="separate"/>
            </w:r>
            <w:r w:rsidR="00545EA3">
              <w:rPr>
                <w:noProof/>
                <w:webHidden/>
              </w:rPr>
              <w:t>9</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806" w:history="1">
            <w:r w:rsidR="0005483B" w:rsidRPr="00B27813">
              <w:rPr>
                <w:rStyle w:val="Lienhypertexte"/>
                <w:noProof/>
              </w:rPr>
              <w:t>Risques sur Actif</w:t>
            </w:r>
            <w:r w:rsidR="0005483B">
              <w:rPr>
                <w:noProof/>
                <w:webHidden/>
              </w:rPr>
              <w:tab/>
            </w:r>
            <w:r>
              <w:rPr>
                <w:noProof/>
                <w:webHidden/>
              </w:rPr>
              <w:fldChar w:fldCharType="begin"/>
            </w:r>
            <w:r w:rsidR="0005483B">
              <w:rPr>
                <w:noProof/>
                <w:webHidden/>
              </w:rPr>
              <w:instrText xml:space="preserve"> PAGEREF _Toc368697806 \h </w:instrText>
            </w:r>
            <w:r>
              <w:rPr>
                <w:noProof/>
                <w:webHidden/>
              </w:rPr>
            </w:r>
            <w:r>
              <w:rPr>
                <w:noProof/>
                <w:webHidden/>
              </w:rPr>
              <w:fldChar w:fldCharType="separate"/>
            </w:r>
            <w:r w:rsidR="00545EA3">
              <w:rPr>
                <w:noProof/>
                <w:webHidden/>
              </w:rPr>
              <w:t>10</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811" w:history="1">
            <w:r w:rsidR="0005483B" w:rsidRPr="00B27813">
              <w:rPr>
                <w:rStyle w:val="Lienhypertexte"/>
                <w:noProof/>
              </w:rPr>
              <w:t>Risques fiscaux</w:t>
            </w:r>
            <w:r w:rsidR="0005483B">
              <w:rPr>
                <w:noProof/>
                <w:webHidden/>
              </w:rPr>
              <w:tab/>
            </w:r>
            <w:r>
              <w:rPr>
                <w:noProof/>
                <w:webHidden/>
              </w:rPr>
              <w:fldChar w:fldCharType="begin"/>
            </w:r>
            <w:r w:rsidR="0005483B">
              <w:rPr>
                <w:noProof/>
                <w:webHidden/>
              </w:rPr>
              <w:instrText xml:space="preserve"> PAGEREF _Toc368697811 \h </w:instrText>
            </w:r>
            <w:r>
              <w:rPr>
                <w:noProof/>
                <w:webHidden/>
              </w:rPr>
            </w:r>
            <w:r>
              <w:rPr>
                <w:noProof/>
                <w:webHidden/>
              </w:rPr>
              <w:fldChar w:fldCharType="separate"/>
            </w:r>
            <w:r w:rsidR="00545EA3">
              <w:rPr>
                <w:noProof/>
                <w:webHidden/>
              </w:rPr>
              <w:t>11</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817" w:history="1">
            <w:r w:rsidR="0005483B" w:rsidRPr="00B27813">
              <w:rPr>
                <w:rStyle w:val="Lienhypertexte"/>
                <w:noProof/>
              </w:rPr>
              <w:t>Le stage au sein de OPER/P&amp;P (Pilotage et Projets)</w:t>
            </w:r>
            <w:r w:rsidR="0005483B">
              <w:rPr>
                <w:noProof/>
                <w:webHidden/>
              </w:rPr>
              <w:tab/>
            </w:r>
            <w:r>
              <w:rPr>
                <w:noProof/>
                <w:webHidden/>
              </w:rPr>
              <w:fldChar w:fldCharType="begin"/>
            </w:r>
            <w:r w:rsidR="0005483B">
              <w:rPr>
                <w:noProof/>
                <w:webHidden/>
              </w:rPr>
              <w:instrText xml:space="preserve"> PAGEREF _Toc368697817 \h </w:instrText>
            </w:r>
            <w:r>
              <w:rPr>
                <w:noProof/>
                <w:webHidden/>
              </w:rPr>
            </w:r>
            <w:r>
              <w:rPr>
                <w:noProof/>
                <w:webHidden/>
              </w:rPr>
              <w:fldChar w:fldCharType="separate"/>
            </w:r>
            <w:r w:rsidR="00545EA3">
              <w:rPr>
                <w:noProof/>
                <w:webHidden/>
              </w:rPr>
              <w:t>12</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818" w:history="1">
            <w:r w:rsidR="0005483B" w:rsidRPr="00B27813">
              <w:rPr>
                <w:rStyle w:val="Lienhypertexte"/>
                <w:noProof/>
              </w:rPr>
              <w:t>Activité durant le stage : Projet IREC</w:t>
            </w:r>
            <w:r w:rsidR="0005483B">
              <w:rPr>
                <w:noProof/>
                <w:webHidden/>
              </w:rPr>
              <w:tab/>
            </w:r>
            <w:r>
              <w:rPr>
                <w:noProof/>
                <w:webHidden/>
              </w:rPr>
              <w:fldChar w:fldCharType="begin"/>
            </w:r>
            <w:r w:rsidR="0005483B">
              <w:rPr>
                <w:noProof/>
                <w:webHidden/>
              </w:rPr>
              <w:instrText xml:space="preserve"> PAGEREF _Toc368697818 \h </w:instrText>
            </w:r>
            <w:r>
              <w:rPr>
                <w:noProof/>
                <w:webHidden/>
              </w:rPr>
            </w:r>
            <w:r>
              <w:rPr>
                <w:noProof/>
                <w:webHidden/>
              </w:rPr>
              <w:fldChar w:fldCharType="separate"/>
            </w:r>
            <w:r w:rsidR="00545EA3">
              <w:rPr>
                <w:noProof/>
                <w:webHidden/>
              </w:rPr>
              <w:t>12</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819" w:history="1">
            <w:r w:rsidR="0005483B" w:rsidRPr="00B27813">
              <w:rPr>
                <w:rStyle w:val="Lienhypertexte"/>
                <w:noProof/>
              </w:rPr>
              <w:t>Présentation du système</w:t>
            </w:r>
            <w:r w:rsidR="0005483B">
              <w:rPr>
                <w:noProof/>
                <w:webHidden/>
              </w:rPr>
              <w:tab/>
            </w:r>
            <w:r>
              <w:rPr>
                <w:noProof/>
                <w:webHidden/>
              </w:rPr>
              <w:fldChar w:fldCharType="begin"/>
            </w:r>
            <w:r w:rsidR="0005483B">
              <w:rPr>
                <w:noProof/>
                <w:webHidden/>
              </w:rPr>
              <w:instrText xml:space="preserve"> PAGEREF _Toc368697819 \h </w:instrText>
            </w:r>
            <w:r>
              <w:rPr>
                <w:noProof/>
                <w:webHidden/>
              </w:rPr>
            </w:r>
            <w:r>
              <w:rPr>
                <w:noProof/>
                <w:webHidden/>
              </w:rPr>
              <w:fldChar w:fldCharType="separate"/>
            </w:r>
            <w:r w:rsidR="00545EA3">
              <w:rPr>
                <w:noProof/>
                <w:webHidden/>
              </w:rPr>
              <w:t>12</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820" w:history="1">
            <w:r w:rsidR="0005483B" w:rsidRPr="00B27813">
              <w:rPr>
                <w:rStyle w:val="Lienhypertexte"/>
                <w:noProof/>
              </w:rPr>
              <w:t>Description du projet</w:t>
            </w:r>
            <w:r w:rsidR="0005483B">
              <w:rPr>
                <w:noProof/>
                <w:webHidden/>
              </w:rPr>
              <w:tab/>
            </w:r>
            <w:r>
              <w:rPr>
                <w:noProof/>
                <w:webHidden/>
              </w:rPr>
              <w:fldChar w:fldCharType="begin"/>
            </w:r>
            <w:r w:rsidR="0005483B">
              <w:rPr>
                <w:noProof/>
                <w:webHidden/>
              </w:rPr>
              <w:instrText xml:space="preserve"> PAGEREF _Toc368697820 \h </w:instrText>
            </w:r>
            <w:r>
              <w:rPr>
                <w:noProof/>
                <w:webHidden/>
              </w:rPr>
            </w:r>
            <w:r>
              <w:rPr>
                <w:noProof/>
                <w:webHidden/>
              </w:rPr>
              <w:fldChar w:fldCharType="separate"/>
            </w:r>
            <w:r w:rsidR="00545EA3">
              <w:rPr>
                <w:noProof/>
                <w:webHidden/>
              </w:rPr>
              <w:t>13</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821" w:history="1">
            <w:r w:rsidR="0005483B" w:rsidRPr="00B27813">
              <w:rPr>
                <w:rStyle w:val="Lienhypertexte"/>
                <w:noProof/>
              </w:rPr>
              <w:t>Contexte</w:t>
            </w:r>
            <w:r w:rsidR="0005483B">
              <w:rPr>
                <w:noProof/>
                <w:webHidden/>
              </w:rPr>
              <w:tab/>
            </w:r>
            <w:r>
              <w:rPr>
                <w:noProof/>
                <w:webHidden/>
              </w:rPr>
              <w:fldChar w:fldCharType="begin"/>
            </w:r>
            <w:r w:rsidR="0005483B">
              <w:rPr>
                <w:noProof/>
                <w:webHidden/>
              </w:rPr>
              <w:instrText xml:space="preserve"> PAGEREF _Toc368697821 \h </w:instrText>
            </w:r>
            <w:r>
              <w:rPr>
                <w:noProof/>
                <w:webHidden/>
              </w:rPr>
            </w:r>
            <w:r>
              <w:rPr>
                <w:noProof/>
                <w:webHidden/>
              </w:rPr>
              <w:fldChar w:fldCharType="separate"/>
            </w:r>
            <w:r w:rsidR="00545EA3">
              <w:rPr>
                <w:noProof/>
                <w:webHidden/>
              </w:rPr>
              <w:t>13</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822" w:history="1">
            <w:r w:rsidR="0005483B" w:rsidRPr="00B27813">
              <w:rPr>
                <w:rStyle w:val="Lienhypertexte"/>
                <w:noProof/>
              </w:rPr>
              <w:t>Reports concernés</w:t>
            </w:r>
            <w:r w:rsidR="0005483B">
              <w:rPr>
                <w:noProof/>
                <w:webHidden/>
              </w:rPr>
              <w:tab/>
            </w:r>
            <w:r>
              <w:rPr>
                <w:noProof/>
                <w:webHidden/>
              </w:rPr>
              <w:fldChar w:fldCharType="begin"/>
            </w:r>
            <w:r w:rsidR="0005483B">
              <w:rPr>
                <w:noProof/>
                <w:webHidden/>
              </w:rPr>
              <w:instrText xml:space="preserve"> PAGEREF _Toc368697822 \h </w:instrText>
            </w:r>
            <w:r>
              <w:rPr>
                <w:noProof/>
                <w:webHidden/>
              </w:rPr>
            </w:r>
            <w:r>
              <w:rPr>
                <w:noProof/>
                <w:webHidden/>
              </w:rPr>
              <w:fldChar w:fldCharType="separate"/>
            </w:r>
            <w:r w:rsidR="00545EA3">
              <w:rPr>
                <w:noProof/>
                <w:webHidden/>
              </w:rPr>
              <w:t>14</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823" w:history="1">
            <w:r w:rsidR="0005483B" w:rsidRPr="00B27813">
              <w:rPr>
                <w:rStyle w:val="Lienhypertexte"/>
                <w:noProof/>
              </w:rPr>
              <w:t>Revue trimestrielle des Commitments</w:t>
            </w:r>
            <w:r w:rsidR="0005483B">
              <w:rPr>
                <w:noProof/>
                <w:webHidden/>
              </w:rPr>
              <w:tab/>
            </w:r>
            <w:r>
              <w:rPr>
                <w:noProof/>
                <w:webHidden/>
              </w:rPr>
              <w:fldChar w:fldCharType="begin"/>
            </w:r>
            <w:r w:rsidR="0005483B">
              <w:rPr>
                <w:noProof/>
                <w:webHidden/>
              </w:rPr>
              <w:instrText xml:space="preserve"> PAGEREF _Toc368697823 \h </w:instrText>
            </w:r>
            <w:r>
              <w:rPr>
                <w:noProof/>
                <w:webHidden/>
              </w:rPr>
            </w:r>
            <w:r>
              <w:rPr>
                <w:noProof/>
                <w:webHidden/>
              </w:rPr>
              <w:fldChar w:fldCharType="separate"/>
            </w:r>
            <w:r w:rsidR="00545EA3">
              <w:rPr>
                <w:noProof/>
                <w:webHidden/>
              </w:rPr>
              <w:t>14</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826" w:history="1">
            <w:r w:rsidR="0005483B" w:rsidRPr="00B27813">
              <w:rPr>
                <w:rStyle w:val="Lienhypertexte"/>
                <w:noProof/>
              </w:rPr>
              <w:t>Notation de contreparties : Obligor Rating</w:t>
            </w:r>
            <w:r w:rsidR="0005483B">
              <w:rPr>
                <w:noProof/>
                <w:webHidden/>
              </w:rPr>
              <w:tab/>
            </w:r>
            <w:r>
              <w:rPr>
                <w:noProof/>
                <w:webHidden/>
              </w:rPr>
              <w:fldChar w:fldCharType="begin"/>
            </w:r>
            <w:r w:rsidR="0005483B">
              <w:rPr>
                <w:noProof/>
                <w:webHidden/>
              </w:rPr>
              <w:instrText xml:space="preserve"> PAGEREF _Toc368697826 \h </w:instrText>
            </w:r>
            <w:r>
              <w:rPr>
                <w:noProof/>
                <w:webHidden/>
              </w:rPr>
            </w:r>
            <w:r>
              <w:rPr>
                <w:noProof/>
                <w:webHidden/>
              </w:rPr>
              <w:fldChar w:fldCharType="separate"/>
            </w:r>
            <w:r w:rsidR="00545EA3">
              <w:rPr>
                <w:noProof/>
                <w:webHidden/>
              </w:rPr>
              <w:t>15</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829" w:history="1">
            <w:r w:rsidR="0005483B" w:rsidRPr="00B27813">
              <w:rPr>
                <w:rStyle w:val="Lienhypertexte"/>
                <w:noProof/>
              </w:rPr>
              <w:t>Revue des collatéraux</w:t>
            </w:r>
            <w:r w:rsidR="0005483B">
              <w:rPr>
                <w:noProof/>
                <w:webHidden/>
              </w:rPr>
              <w:tab/>
            </w:r>
            <w:r>
              <w:rPr>
                <w:noProof/>
                <w:webHidden/>
              </w:rPr>
              <w:fldChar w:fldCharType="begin"/>
            </w:r>
            <w:r w:rsidR="0005483B">
              <w:rPr>
                <w:noProof/>
                <w:webHidden/>
              </w:rPr>
              <w:instrText xml:space="preserve"> PAGEREF _Toc368697829 \h </w:instrText>
            </w:r>
            <w:r>
              <w:rPr>
                <w:noProof/>
                <w:webHidden/>
              </w:rPr>
            </w:r>
            <w:r>
              <w:rPr>
                <w:noProof/>
                <w:webHidden/>
              </w:rPr>
              <w:fldChar w:fldCharType="separate"/>
            </w:r>
            <w:r w:rsidR="00545EA3">
              <w:rPr>
                <w:noProof/>
                <w:webHidden/>
              </w:rPr>
              <w:t>16</w:t>
            </w:r>
            <w:r>
              <w:rPr>
                <w:noProof/>
                <w:webHidden/>
              </w:rPr>
              <w:fldChar w:fldCharType="end"/>
            </w:r>
          </w:hyperlink>
        </w:p>
        <w:p w:rsidR="0005483B" w:rsidRDefault="005603B7">
          <w:pPr>
            <w:pStyle w:val="TM2"/>
            <w:tabs>
              <w:tab w:val="right" w:leader="dot" w:pos="9062"/>
            </w:tabs>
            <w:rPr>
              <w:rFonts w:asciiTheme="minorHAnsi" w:eastAsiaTheme="minorEastAsia" w:hAnsiTheme="minorHAnsi" w:cstheme="minorBidi"/>
              <w:noProof/>
              <w:lang w:eastAsia="fr-FR"/>
            </w:rPr>
          </w:pPr>
          <w:hyperlink w:anchor="_Toc368697833" w:history="1">
            <w:r w:rsidR="0005483B" w:rsidRPr="00B27813">
              <w:rPr>
                <w:rStyle w:val="Lienhypertexte"/>
                <w:noProof/>
              </w:rPr>
              <w:t>Suivi du SMC et du LTV</w:t>
            </w:r>
            <w:r w:rsidR="0005483B">
              <w:rPr>
                <w:noProof/>
                <w:webHidden/>
              </w:rPr>
              <w:tab/>
            </w:r>
            <w:r>
              <w:rPr>
                <w:noProof/>
                <w:webHidden/>
              </w:rPr>
              <w:fldChar w:fldCharType="begin"/>
            </w:r>
            <w:r w:rsidR="0005483B">
              <w:rPr>
                <w:noProof/>
                <w:webHidden/>
              </w:rPr>
              <w:instrText xml:space="preserve"> PAGEREF _Toc368697833 \h </w:instrText>
            </w:r>
            <w:r>
              <w:rPr>
                <w:noProof/>
                <w:webHidden/>
              </w:rPr>
            </w:r>
            <w:r>
              <w:rPr>
                <w:noProof/>
                <w:webHidden/>
              </w:rPr>
              <w:fldChar w:fldCharType="separate"/>
            </w:r>
            <w:r w:rsidR="00545EA3">
              <w:rPr>
                <w:noProof/>
                <w:webHidden/>
              </w:rPr>
              <w:t>17</w:t>
            </w:r>
            <w:r>
              <w:rPr>
                <w:noProof/>
                <w:webHidden/>
              </w:rPr>
              <w:fldChar w:fldCharType="end"/>
            </w:r>
          </w:hyperlink>
        </w:p>
        <w:p w:rsidR="0005483B" w:rsidRDefault="005603B7">
          <w:pPr>
            <w:pStyle w:val="TM1"/>
            <w:tabs>
              <w:tab w:val="right" w:leader="dot" w:pos="9062"/>
            </w:tabs>
            <w:rPr>
              <w:rFonts w:asciiTheme="minorHAnsi" w:eastAsiaTheme="minorEastAsia" w:hAnsiTheme="minorHAnsi" w:cstheme="minorBidi"/>
              <w:noProof/>
              <w:lang w:eastAsia="fr-FR"/>
            </w:rPr>
          </w:pPr>
          <w:hyperlink w:anchor="_Toc368697835" w:history="1">
            <w:r w:rsidR="0005483B" w:rsidRPr="00B27813">
              <w:rPr>
                <w:rStyle w:val="Lienhypertexte"/>
                <w:noProof/>
              </w:rPr>
              <w:t>Conclusion</w:t>
            </w:r>
            <w:r w:rsidR="0005483B">
              <w:rPr>
                <w:noProof/>
                <w:webHidden/>
              </w:rPr>
              <w:tab/>
            </w:r>
            <w:r>
              <w:rPr>
                <w:noProof/>
                <w:webHidden/>
              </w:rPr>
              <w:fldChar w:fldCharType="begin"/>
            </w:r>
            <w:r w:rsidR="0005483B">
              <w:rPr>
                <w:noProof/>
                <w:webHidden/>
              </w:rPr>
              <w:instrText xml:space="preserve"> PAGEREF _Toc368697835 \h </w:instrText>
            </w:r>
            <w:r>
              <w:rPr>
                <w:noProof/>
                <w:webHidden/>
              </w:rPr>
            </w:r>
            <w:r>
              <w:rPr>
                <w:noProof/>
                <w:webHidden/>
              </w:rPr>
              <w:fldChar w:fldCharType="separate"/>
            </w:r>
            <w:r w:rsidR="00545EA3">
              <w:rPr>
                <w:noProof/>
                <w:webHidden/>
              </w:rPr>
              <w:t>18</w:t>
            </w:r>
            <w:r>
              <w:rPr>
                <w:noProof/>
                <w:webHidden/>
              </w:rPr>
              <w:fldChar w:fldCharType="end"/>
            </w:r>
          </w:hyperlink>
        </w:p>
        <w:p w:rsidR="002F5D9F" w:rsidRDefault="005603B7">
          <w:r>
            <w:rPr>
              <w:b/>
              <w:bCs/>
            </w:rPr>
            <w:fldChar w:fldCharType="end"/>
          </w:r>
        </w:p>
      </w:sdtContent>
    </w:sdt>
    <w:p w:rsidR="002F5D9F" w:rsidRDefault="002F5D9F" w:rsidP="00243A10"/>
    <w:p w:rsidR="002F5D9F" w:rsidRDefault="002F5D9F" w:rsidP="00243A10"/>
    <w:p w:rsidR="002F5D9F" w:rsidRDefault="002F5D9F" w:rsidP="002F5D9F">
      <w:r>
        <w:br w:type="page"/>
      </w:r>
    </w:p>
    <w:p w:rsidR="002F5D9F" w:rsidRDefault="002F5D9F" w:rsidP="002F5D9F">
      <w:pPr>
        <w:pStyle w:val="Titre1"/>
      </w:pPr>
      <w:bookmarkStart w:id="3" w:name="_Toc368697782"/>
      <w:r>
        <w:lastRenderedPageBreak/>
        <w:t>Présentation de la structure d’accueil</w:t>
      </w:r>
      <w:bookmarkEnd w:id="3"/>
    </w:p>
    <w:p w:rsidR="007D0846" w:rsidRPr="004F292E" w:rsidRDefault="007D0846" w:rsidP="004F292E">
      <w:pPr>
        <w:autoSpaceDE w:val="0"/>
        <w:autoSpaceDN w:val="0"/>
        <w:adjustRightInd w:val="0"/>
        <w:spacing w:after="0"/>
        <w:jc w:val="both"/>
        <w:rPr>
          <w:rFonts w:asciiTheme="minorHAnsi" w:hAnsiTheme="minorHAnsi" w:cs="Calibri"/>
          <w:color w:val="231F20"/>
        </w:rPr>
      </w:pPr>
      <w:r w:rsidRPr="004F292E">
        <w:rPr>
          <w:rFonts w:asciiTheme="minorHAnsi" w:hAnsiTheme="minorHAnsi" w:cs="Calibri"/>
          <w:color w:val="231F20"/>
        </w:rPr>
        <w:t xml:space="preserve">Jusqu’à fin Août 2013, les la </w:t>
      </w:r>
      <w:r w:rsidR="0078751E" w:rsidRPr="004F292E">
        <w:rPr>
          <w:rFonts w:asciiTheme="minorHAnsi" w:hAnsiTheme="minorHAnsi" w:cs="Calibri"/>
          <w:color w:val="231F20"/>
        </w:rPr>
        <w:t xml:space="preserve">banque de financements et d’investissements de </w:t>
      </w:r>
      <w:r w:rsidRPr="004F292E">
        <w:rPr>
          <w:rFonts w:asciiTheme="minorHAnsi" w:hAnsiTheme="minorHAnsi" w:cs="Calibri"/>
          <w:color w:val="231F20"/>
        </w:rPr>
        <w:t>Société Générale se composaient de</w:t>
      </w:r>
      <w:r w:rsidR="0078751E" w:rsidRPr="004F292E">
        <w:rPr>
          <w:rFonts w:asciiTheme="minorHAnsi" w:hAnsiTheme="minorHAnsi" w:cs="Calibri"/>
          <w:color w:val="231F20"/>
        </w:rPr>
        <w:t>s</w:t>
      </w:r>
      <w:r w:rsidRPr="004F292E">
        <w:rPr>
          <w:rFonts w:asciiTheme="minorHAnsi" w:hAnsiTheme="minorHAnsi" w:cs="Calibri"/>
          <w:color w:val="231F20"/>
        </w:rPr>
        <w:t xml:space="preserve"> filiales </w:t>
      </w:r>
      <w:r w:rsidR="0078751E" w:rsidRPr="004F292E">
        <w:rPr>
          <w:rFonts w:asciiTheme="minorHAnsi" w:hAnsiTheme="minorHAnsi" w:cs="Calibri"/>
          <w:color w:val="231F20"/>
        </w:rPr>
        <w:t xml:space="preserve">suivantes </w:t>
      </w:r>
      <w:r w:rsidRPr="004F292E">
        <w:rPr>
          <w:rFonts w:asciiTheme="minorHAnsi" w:hAnsiTheme="minorHAnsi" w:cs="Calibri"/>
          <w:color w:val="231F20"/>
        </w:rPr>
        <w:t>:</w:t>
      </w:r>
      <w:r w:rsidR="0078751E" w:rsidRPr="004F292E">
        <w:rPr>
          <w:rFonts w:asciiTheme="minorHAnsi" w:hAnsiTheme="minorHAnsi" w:cs="Calibri"/>
          <w:color w:val="231F20"/>
        </w:rPr>
        <w:t xml:space="preserve"> </w:t>
      </w:r>
      <w:r w:rsidRPr="004F292E">
        <w:rPr>
          <w:rFonts w:asciiTheme="minorHAnsi" w:hAnsiTheme="minorHAnsi" w:cs="Calibri"/>
          <w:color w:val="231F20"/>
        </w:rPr>
        <w:t>SGCIB</w:t>
      </w:r>
      <w:r w:rsidR="0078751E" w:rsidRPr="004F292E">
        <w:rPr>
          <w:rFonts w:asciiTheme="minorHAnsi" w:hAnsiTheme="minorHAnsi" w:cs="Calibri"/>
          <w:color w:val="231F20"/>
        </w:rPr>
        <w:t xml:space="preserve"> (</w:t>
      </w:r>
      <w:proofErr w:type="spellStart"/>
      <w:r w:rsidR="0078751E" w:rsidRPr="004F292E">
        <w:rPr>
          <w:rFonts w:asciiTheme="minorHAnsi" w:hAnsiTheme="minorHAnsi" w:cs="Calibri"/>
          <w:color w:val="231F20"/>
        </w:rPr>
        <w:t>Corporate</w:t>
      </w:r>
      <w:proofErr w:type="spellEnd"/>
      <w:r w:rsidR="0078751E" w:rsidRPr="004F292E">
        <w:rPr>
          <w:rFonts w:asciiTheme="minorHAnsi" w:hAnsiTheme="minorHAnsi" w:cs="Calibri"/>
          <w:color w:val="231F20"/>
        </w:rPr>
        <w:t xml:space="preserve"> &amp; </w:t>
      </w:r>
      <w:proofErr w:type="spellStart"/>
      <w:r w:rsidR="0078751E" w:rsidRPr="004F292E">
        <w:rPr>
          <w:rFonts w:asciiTheme="minorHAnsi" w:hAnsiTheme="minorHAnsi" w:cs="Calibri"/>
          <w:color w:val="231F20"/>
        </w:rPr>
        <w:t>Investment</w:t>
      </w:r>
      <w:proofErr w:type="spellEnd"/>
      <w:r w:rsidR="0078751E" w:rsidRPr="004F292E">
        <w:rPr>
          <w:rFonts w:asciiTheme="minorHAnsi" w:hAnsiTheme="minorHAnsi" w:cs="Calibri"/>
          <w:color w:val="231F20"/>
        </w:rPr>
        <w:t xml:space="preserve"> </w:t>
      </w:r>
      <w:proofErr w:type="spellStart"/>
      <w:r w:rsidR="0078751E" w:rsidRPr="004F292E">
        <w:rPr>
          <w:rFonts w:asciiTheme="minorHAnsi" w:hAnsiTheme="minorHAnsi" w:cs="Calibri"/>
          <w:color w:val="231F20"/>
        </w:rPr>
        <w:t>Banking</w:t>
      </w:r>
      <w:proofErr w:type="spellEnd"/>
      <w:r w:rsidR="0078751E" w:rsidRPr="004F292E">
        <w:rPr>
          <w:rFonts w:asciiTheme="minorHAnsi" w:hAnsiTheme="minorHAnsi" w:cs="Calibri"/>
          <w:color w:val="231F20"/>
        </w:rPr>
        <w:t xml:space="preserve">), </w:t>
      </w:r>
      <w:r w:rsidRPr="004F292E">
        <w:rPr>
          <w:rFonts w:asciiTheme="minorHAnsi" w:hAnsiTheme="minorHAnsi" w:cs="Calibri"/>
          <w:color w:val="231F20"/>
        </w:rPr>
        <w:t>SGSS</w:t>
      </w:r>
      <w:r w:rsidR="0078751E" w:rsidRPr="004F292E">
        <w:rPr>
          <w:rFonts w:asciiTheme="minorHAnsi" w:hAnsiTheme="minorHAnsi" w:cs="Calibri"/>
          <w:color w:val="231F20"/>
        </w:rPr>
        <w:t xml:space="preserve"> (</w:t>
      </w:r>
      <w:proofErr w:type="spellStart"/>
      <w:r w:rsidR="0078751E" w:rsidRPr="004F292E">
        <w:rPr>
          <w:rFonts w:asciiTheme="minorHAnsi" w:hAnsiTheme="minorHAnsi" w:cs="Calibri"/>
          <w:color w:val="231F20"/>
        </w:rPr>
        <w:t>Securties</w:t>
      </w:r>
      <w:proofErr w:type="spellEnd"/>
      <w:r w:rsidR="0078751E" w:rsidRPr="004F292E">
        <w:rPr>
          <w:rFonts w:asciiTheme="minorHAnsi" w:hAnsiTheme="minorHAnsi" w:cs="Calibri"/>
          <w:color w:val="231F20"/>
        </w:rPr>
        <w:t xml:space="preserve"> Services), G</w:t>
      </w:r>
      <w:r w:rsidRPr="004F292E">
        <w:rPr>
          <w:rFonts w:asciiTheme="minorHAnsi" w:hAnsiTheme="minorHAnsi" w:cs="Calibri"/>
          <w:color w:val="231F20"/>
        </w:rPr>
        <w:t>IMS</w:t>
      </w:r>
      <w:r w:rsidR="0078751E" w:rsidRPr="004F292E">
        <w:rPr>
          <w:rFonts w:asciiTheme="minorHAnsi" w:hAnsiTheme="minorHAnsi" w:cs="Calibri"/>
          <w:color w:val="231F20"/>
        </w:rPr>
        <w:t xml:space="preserve"> (Global </w:t>
      </w:r>
      <w:proofErr w:type="spellStart"/>
      <w:r w:rsidR="0078751E" w:rsidRPr="004F292E">
        <w:rPr>
          <w:rFonts w:asciiTheme="minorHAnsi" w:hAnsiTheme="minorHAnsi" w:cs="Calibri"/>
          <w:color w:val="231F20"/>
        </w:rPr>
        <w:t>Investment</w:t>
      </w:r>
      <w:proofErr w:type="spellEnd"/>
      <w:r w:rsidR="0078751E" w:rsidRPr="004F292E">
        <w:rPr>
          <w:rFonts w:asciiTheme="minorHAnsi" w:hAnsiTheme="minorHAnsi" w:cs="Calibri"/>
          <w:color w:val="231F20"/>
        </w:rPr>
        <w:t xml:space="preserve"> Management and Services division), </w:t>
      </w:r>
      <w:r w:rsidRPr="004F292E">
        <w:rPr>
          <w:rFonts w:asciiTheme="minorHAnsi" w:hAnsiTheme="minorHAnsi" w:cs="Calibri"/>
          <w:color w:val="231F20"/>
        </w:rPr>
        <w:t>SGPB</w:t>
      </w:r>
      <w:r w:rsidR="0078751E" w:rsidRPr="004F292E">
        <w:rPr>
          <w:rFonts w:asciiTheme="minorHAnsi" w:hAnsiTheme="minorHAnsi" w:cs="Calibri"/>
          <w:color w:val="231F20"/>
        </w:rPr>
        <w:t xml:space="preserve"> (</w:t>
      </w:r>
      <w:proofErr w:type="spellStart"/>
      <w:r w:rsidR="0078751E" w:rsidRPr="004F292E">
        <w:rPr>
          <w:rFonts w:asciiTheme="minorHAnsi" w:hAnsiTheme="minorHAnsi" w:cs="Calibri"/>
          <w:color w:val="231F20"/>
        </w:rPr>
        <w:t>Private</w:t>
      </w:r>
      <w:proofErr w:type="spellEnd"/>
      <w:r w:rsidR="0078751E" w:rsidRPr="004F292E">
        <w:rPr>
          <w:rFonts w:asciiTheme="minorHAnsi" w:hAnsiTheme="minorHAnsi" w:cs="Calibri"/>
          <w:color w:val="231F20"/>
        </w:rPr>
        <w:t xml:space="preserve"> </w:t>
      </w:r>
      <w:proofErr w:type="spellStart"/>
      <w:r w:rsidR="0078751E" w:rsidRPr="004F292E">
        <w:rPr>
          <w:rFonts w:asciiTheme="minorHAnsi" w:hAnsiTheme="minorHAnsi" w:cs="Calibri"/>
          <w:color w:val="231F20"/>
        </w:rPr>
        <w:t>Banking</w:t>
      </w:r>
      <w:proofErr w:type="spellEnd"/>
      <w:r w:rsidR="0078751E" w:rsidRPr="004F292E">
        <w:rPr>
          <w:rFonts w:asciiTheme="minorHAnsi" w:hAnsiTheme="minorHAnsi" w:cs="Calibri"/>
          <w:color w:val="231F20"/>
        </w:rPr>
        <w:t xml:space="preserve">) et </w:t>
      </w:r>
      <w:proofErr w:type="spellStart"/>
      <w:r w:rsidRPr="004F292E">
        <w:rPr>
          <w:rFonts w:asciiTheme="minorHAnsi" w:hAnsiTheme="minorHAnsi" w:cs="Calibri"/>
          <w:color w:val="231F20"/>
        </w:rPr>
        <w:t>Lyxor</w:t>
      </w:r>
      <w:proofErr w:type="spellEnd"/>
      <w:r w:rsidR="0078751E" w:rsidRPr="004F292E">
        <w:rPr>
          <w:rFonts w:asciiTheme="minorHAnsi" w:hAnsiTheme="minorHAnsi" w:cs="Calibri"/>
          <w:color w:val="231F20"/>
        </w:rPr>
        <w:t xml:space="preserve"> (Gestion d’Actif).</w:t>
      </w:r>
    </w:p>
    <w:p w:rsidR="0078751E" w:rsidRPr="004F292E" w:rsidRDefault="0078751E" w:rsidP="004F292E">
      <w:pPr>
        <w:autoSpaceDE w:val="0"/>
        <w:autoSpaceDN w:val="0"/>
        <w:adjustRightInd w:val="0"/>
        <w:spacing w:after="0"/>
        <w:jc w:val="both"/>
        <w:rPr>
          <w:rFonts w:asciiTheme="minorHAnsi" w:hAnsiTheme="minorHAnsi" w:cs="Calibri"/>
          <w:color w:val="231F20"/>
        </w:rPr>
      </w:pPr>
    </w:p>
    <w:p w:rsidR="007D0846" w:rsidRPr="004F292E" w:rsidRDefault="002F5D9F" w:rsidP="004F292E">
      <w:pPr>
        <w:autoSpaceDE w:val="0"/>
        <w:autoSpaceDN w:val="0"/>
        <w:adjustRightInd w:val="0"/>
        <w:spacing w:after="0"/>
        <w:jc w:val="both"/>
        <w:rPr>
          <w:rFonts w:asciiTheme="minorHAnsi" w:hAnsiTheme="minorHAnsi" w:cs="Calibri"/>
          <w:color w:val="231F20"/>
        </w:rPr>
      </w:pPr>
      <w:r w:rsidRPr="004F292E">
        <w:rPr>
          <w:rFonts w:asciiTheme="minorHAnsi" w:hAnsiTheme="minorHAnsi" w:cs="Calibri"/>
          <w:color w:val="231F20"/>
        </w:rPr>
        <w:t xml:space="preserve">Depuis Septembre 2013, Société </w:t>
      </w:r>
      <w:r w:rsidR="007D0846" w:rsidRPr="004F292E">
        <w:rPr>
          <w:rFonts w:asciiTheme="minorHAnsi" w:hAnsiTheme="minorHAnsi" w:cs="Calibri"/>
          <w:color w:val="231F20"/>
        </w:rPr>
        <w:t xml:space="preserve">le </w:t>
      </w:r>
      <w:r w:rsidR="004F292E" w:rsidRPr="004F292E">
        <w:rPr>
          <w:rFonts w:asciiTheme="minorHAnsi" w:hAnsiTheme="minorHAnsi" w:cs="Calibri"/>
          <w:color w:val="231F20"/>
        </w:rPr>
        <w:t xml:space="preserve">Générale a effectué </w:t>
      </w:r>
      <w:r w:rsidRPr="004F292E">
        <w:rPr>
          <w:rFonts w:asciiTheme="minorHAnsi" w:hAnsiTheme="minorHAnsi" w:cs="Calibri"/>
          <w:color w:val="231F20"/>
        </w:rPr>
        <w:t xml:space="preserve">rapprochement </w:t>
      </w:r>
      <w:r w:rsidR="007D0846" w:rsidRPr="004F292E">
        <w:rPr>
          <w:rFonts w:asciiTheme="minorHAnsi" w:hAnsiTheme="minorHAnsi" w:cs="Calibri"/>
          <w:color w:val="231F20"/>
        </w:rPr>
        <w:t xml:space="preserve">de </w:t>
      </w:r>
      <w:r w:rsidRPr="004F292E">
        <w:rPr>
          <w:rFonts w:asciiTheme="minorHAnsi" w:hAnsiTheme="minorHAnsi" w:cs="Calibri"/>
          <w:color w:val="231F20"/>
        </w:rPr>
        <w:t xml:space="preserve">deux </w:t>
      </w:r>
      <w:r w:rsidR="007D0846" w:rsidRPr="004F292E">
        <w:rPr>
          <w:rFonts w:asciiTheme="minorHAnsi" w:hAnsiTheme="minorHAnsi" w:cs="Calibri"/>
          <w:color w:val="231F20"/>
        </w:rPr>
        <w:t xml:space="preserve">grands </w:t>
      </w:r>
      <w:r w:rsidRPr="004F292E">
        <w:rPr>
          <w:rFonts w:asciiTheme="minorHAnsi" w:hAnsiTheme="minorHAnsi" w:cs="Calibri"/>
          <w:color w:val="231F20"/>
        </w:rPr>
        <w:t xml:space="preserve">Pôles, </w:t>
      </w:r>
      <w:r w:rsidRPr="004F292E">
        <w:rPr>
          <w:rFonts w:asciiTheme="minorHAnsi" w:hAnsiTheme="minorHAnsi" w:cs="Calibri-Italic"/>
          <w:i/>
          <w:iCs/>
          <w:color w:val="231F20"/>
        </w:rPr>
        <w:t xml:space="preserve">Banque de </w:t>
      </w:r>
      <w:r w:rsidRPr="004F292E">
        <w:rPr>
          <w:rFonts w:asciiTheme="minorHAnsi" w:hAnsiTheme="minorHAnsi" w:cs="Calibri"/>
          <w:color w:val="231F20"/>
        </w:rPr>
        <w:t>Financement et d’Investissement et Banque Privée, Gestion d’Actifs et Services aux Investisseurs.</w:t>
      </w:r>
    </w:p>
    <w:p w:rsidR="007D0846" w:rsidRPr="004F292E" w:rsidRDefault="007D0846" w:rsidP="004F292E">
      <w:pPr>
        <w:autoSpaceDE w:val="0"/>
        <w:autoSpaceDN w:val="0"/>
        <w:adjustRightInd w:val="0"/>
        <w:spacing w:after="0"/>
        <w:jc w:val="both"/>
        <w:rPr>
          <w:rFonts w:asciiTheme="minorHAnsi" w:hAnsiTheme="minorHAnsi" w:cs="Calibri"/>
          <w:color w:val="231F20"/>
        </w:rPr>
      </w:pPr>
    </w:p>
    <w:p w:rsidR="002F5D9F" w:rsidRPr="004F292E" w:rsidRDefault="002F5D9F" w:rsidP="004F292E">
      <w:pPr>
        <w:autoSpaceDE w:val="0"/>
        <w:autoSpaceDN w:val="0"/>
        <w:adjustRightInd w:val="0"/>
        <w:spacing w:after="0"/>
        <w:jc w:val="both"/>
        <w:rPr>
          <w:rFonts w:asciiTheme="minorHAnsi" w:hAnsiTheme="minorHAnsi" w:cs="Calibri"/>
          <w:color w:val="231F20"/>
        </w:rPr>
      </w:pPr>
      <w:r w:rsidRPr="004F292E">
        <w:rPr>
          <w:rFonts w:asciiTheme="minorHAnsi" w:hAnsiTheme="minorHAnsi" w:cs="Calibri"/>
          <w:color w:val="231F20"/>
        </w:rPr>
        <w:t xml:space="preserve">Le Groupe </w:t>
      </w:r>
      <w:r w:rsidR="007D0846" w:rsidRPr="004F292E">
        <w:rPr>
          <w:rFonts w:asciiTheme="minorHAnsi" w:hAnsiTheme="minorHAnsi" w:cs="Calibri"/>
          <w:color w:val="231F20"/>
        </w:rPr>
        <w:t xml:space="preserve">est </w:t>
      </w:r>
      <w:r w:rsidRPr="004F292E">
        <w:rPr>
          <w:rFonts w:asciiTheme="minorHAnsi" w:hAnsiTheme="minorHAnsi" w:cs="Calibri"/>
          <w:color w:val="231F20"/>
        </w:rPr>
        <w:t>désormais articulé autour de trois piliers :</w:t>
      </w:r>
    </w:p>
    <w:p w:rsidR="007D0846" w:rsidRPr="004F292E" w:rsidRDefault="002F5D9F" w:rsidP="004F292E">
      <w:pPr>
        <w:pStyle w:val="Paragraphedeliste"/>
        <w:numPr>
          <w:ilvl w:val="0"/>
          <w:numId w:val="1"/>
        </w:numPr>
        <w:autoSpaceDE w:val="0"/>
        <w:autoSpaceDN w:val="0"/>
        <w:adjustRightInd w:val="0"/>
        <w:spacing w:after="0"/>
        <w:jc w:val="both"/>
        <w:rPr>
          <w:rFonts w:asciiTheme="minorHAnsi" w:hAnsiTheme="minorHAnsi" w:cs="Calibri"/>
          <w:color w:val="231F20"/>
        </w:rPr>
      </w:pPr>
      <w:r w:rsidRPr="004F292E">
        <w:rPr>
          <w:rFonts w:asciiTheme="minorHAnsi" w:hAnsiTheme="minorHAnsi" w:cs="Calibri"/>
          <w:color w:val="231F20"/>
        </w:rPr>
        <w:t>La Banque de détail en France ;</w:t>
      </w:r>
    </w:p>
    <w:p w:rsidR="007D0846" w:rsidRPr="004F292E" w:rsidRDefault="002F5D9F" w:rsidP="004F292E">
      <w:pPr>
        <w:pStyle w:val="Paragraphedeliste"/>
        <w:numPr>
          <w:ilvl w:val="0"/>
          <w:numId w:val="1"/>
        </w:numPr>
        <w:autoSpaceDE w:val="0"/>
        <w:autoSpaceDN w:val="0"/>
        <w:adjustRightInd w:val="0"/>
        <w:spacing w:after="0"/>
        <w:jc w:val="both"/>
        <w:rPr>
          <w:rFonts w:asciiTheme="minorHAnsi" w:hAnsiTheme="minorHAnsi" w:cs="Calibri"/>
          <w:color w:val="231F20"/>
        </w:rPr>
      </w:pPr>
      <w:r w:rsidRPr="004F292E">
        <w:rPr>
          <w:rFonts w:asciiTheme="minorHAnsi" w:hAnsiTheme="minorHAnsi" w:cs="Calibri"/>
          <w:color w:val="231F20"/>
        </w:rPr>
        <w:t>Un nouveau pilier de Banque de détail et Services financiers à l’international ;</w:t>
      </w:r>
    </w:p>
    <w:p w:rsidR="002F5D9F" w:rsidRPr="004F292E" w:rsidRDefault="002F5D9F" w:rsidP="004F292E">
      <w:pPr>
        <w:pStyle w:val="Paragraphedeliste"/>
        <w:numPr>
          <w:ilvl w:val="0"/>
          <w:numId w:val="1"/>
        </w:numPr>
        <w:autoSpaceDE w:val="0"/>
        <w:autoSpaceDN w:val="0"/>
        <w:adjustRightInd w:val="0"/>
        <w:spacing w:after="0"/>
        <w:jc w:val="both"/>
        <w:rPr>
          <w:rFonts w:asciiTheme="minorHAnsi" w:hAnsiTheme="minorHAnsi" w:cs="Calibri"/>
          <w:color w:val="231F20"/>
        </w:rPr>
      </w:pPr>
      <w:r w:rsidRPr="004F292E">
        <w:rPr>
          <w:rFonts w:asciiTheme="minorHAnsi" w:hAnsiTheme="minorHAnsi" w:cs="Calibri"/>
          <w:color w:val="231F20"/>
        </w:rPr>
        <w:t>Un nouveau pilier regroupant les activités de Banque de Financement et d’Investissement et de Banque</w:t>
      </w:r>
      <w:r w:rsidR="007D0846" w:rsidRPr="004F292E">
        <w:rPr>
          <w:rFonts w:asciiTheme="minorHAnsi" w:hAnsiTheme="minorHAnsi" w:cs="Calibri"/>
          <w:color w:val="231F20"/>
        </w:rPr>
        <w:t xml:space="preserve"> </w:t>
      </w:r>
      <w:r w:rsidRPr="004F292E">
        <w:rPr>
          <w:rFonts w:asciiTheme="minorHAnsi" w:hAnsiTheme="minorHAnsi" w:cs="Calibri"/>
          <w:color w:val="231F20"/>
        </w:rPr>
        <w:t>Privée, Gestion d’Actifs et Services aux Investisseurs.</w:t>
      </w:r>
    </w:p>
    <w:p w:rsidR="007D0846" w:rsidRPr="004F292E" w:rsidRDefault="007D0846" w:rsidP="00246C03">
      <w:pPr>
        <w:autoSpaceDE w:val="0"/>
        <w:autoSpaceDN w:val="0"/>
        <w:adjustRightInd w:val="0"/>
        <w:spacing w:after="0"/>
        <w:jc w:val="both"/>
        <w:rPr>
          <w:rFonts w:asciiTheme="minorHAnsi" w:hAnsiTheme="minorHAnsi" w:cs="Calibri"/>
          <w:color w:val="231F20"/>
        </w:rPr>
      </w:pPr>
    </w:p>
    <w:p w:rsidR="007D0846" w:rsidRPr="004F292E" w:rsidRDefault="0078751E" w:rsidP="00246C03">
      <w:pPr>
        <w:autoSpaceDE w:val="0"/>
        <w:autoSpaceDN w:val="0"/>
        <w:adjustRightInd w:val="0"/>
        <w:spacing w:after="0"/>
        <w:jc w:val="both"/>
        <w:rPr>
          <w:rFonts w:asciiTheme="minorHAnsi" w:hAnsiTheme="minorHAnsi" w:cs="Calibri"/>
          <w:color w:val="231F20"/>
        </w:rPr>
      </w:pPr>
      <w:r w:rsidRPr="004F292E">
        <w:rPr>
          <w:rFonts w:asciiTheme="minorHAnsi" w:hAnsiTheme="minorHAnsi" w:cs="Calibri"/>
          <w:color w:val="231F20"/>
        </w:rPr>
        <w:t>Les équipes de SG CIB</w:t>
      </w:r>
      <w:r w:rsidR="007D0846" w:rsidRPr="004F292E">
        <w:rPr>
          <w:rFonts w:asciiTheme="minorHAnsi" w:hAnsiTheme="minorHAnsi" w:cs="Calibri"/>
          <w:color w:val="231F20"/>
        </w:rPr>
        <w:t xml:space="preserve"> et de GIMS répondent aux demandes de clients sophistiqués (investisseurs, clients de la banque privée, grandes entreprises) et ont donc pu développer des expertises pointues dans leurs domaines. D’ores et déjà, les équipes ont des clients communs (70% des clients de SGSS sont par exemple suivis aussi par SG CIB), mais elles interviennent à différents stades de la chaîne de valeur :</w:t>
      </w:r>
    </w:p>
    <w:p w:rsidR="007D0846" w:rsidRPr="004F292E" w:rsidRDefault="007D0846" w:rsidP="00246C03">
      <w:pPr>
        <w:pStyle w:val="Paragraphedeliste"/>
        <w:numPr>
          <w:ilvl w:val="0"/>
          <w:numId w:val="1"/>
        </w:numPr>
        <w:autoSpaceDE w:val="0"/>
        <w:autoSpaceDN w:val="0"/>
        <w:adjustRightInd w:val="0"/>
        <w:spacing w:after="0"/>
        <w:jc w:val="both"/>
        <w:rPr>
          <w:rFonts w:asciiTheme="minorHAnsi" w:hAnsiTheme="minorHAnsi" w:cs="Calibri"/>
          <w:color w:val="231F20"/>
        </w:rPr>
      </w:pPr>
      <w:r w:rsidRPr="004F292E">
        <w:rPr>
          <w:rFonts w:asciiTheme="minorHAnsi" w:hAnsiTheme="minorHAnsi" w:cs="Calibri"/>
          <w:color w:val="231F20"/>
        </w:rPr>
        <w:t xml:space="preserve">La Banque Privée doit s’appuyer sur la salle des marchés de SG CIB ou sur </w:t>
      </w:r>
      <w:proofErr w:type="spellStart"/>
      <w:r w:rsidRPr="004F292E">
        <w:rPr>
          <w:rFonts w:asciiTheme="minorHAnsi" w:hAnsiTheme="minorHAnsi" w:cs="Calibri"/>
          <w:color w:val="231F20"/>
        </w:rPr>
        <w:t>Lyxor</w:t>
      </w:r>
      <w:proofErr w:type="spellEnd"/>
      <w:r w:rsidRPr="004F292E">
        <w:rPr>
          <w:rFonts w:asciiTheme="minorHAnsi" w:hAnsiTheme="minorHAnsi" w:cs="Calibri"/>
          <w:color w:val="231F20"/>
        </w:rPr>
        <w:t xml:space="preserve"> pour exécuter les ordres de ses clients ou offrir des produits d’investissement structurés répondant aux besoins très spécifiques de sa clientèle ;</w:t>
      </w:r>
    </w:p>
    <w:p w:rsidR="007D0846" w:rsidRPr="004F292E" w:rsidRDefault="007D0846" w:rsidP="00246C03">
      <w:pPr>
        <w:pStyle w:val="Paragraphedeliste"/>
        <w:numPr>
          <w:ilvl w:val="0"/>
          <w:numId w:val="1"/>
        </w:numPr>
        <w:autoSpaceDE w:val="0"/>
        <w:autoSpaceDN w:val="0"/>
        <w:adjustRightInd w:val="0"/>
        <w:spacing w:after="0"/>
        <w:jc w:val="both"/>
        <w:rPr>
          <w:rFonts w:asciiTheme="minorHAnsi" w:hAnsiTheme="minorHAnsi" w:cs="Calibri"/>
          <w:color w:val="231F20"/>
        </w:rPr>
      </w:pPr>
      <w:r w:rsidRPr="004F292E">
        <w:rPr>
          <w:rFonts w:asciiTheme="minorHAnsi" w:hAnsiTheme="minorHAnsi" w:cs="Calibri"/>
          <w:color w:val="231F20"/>
        </w:rPr>
        <w:t xml:space="preserve">Les clients investisseurs de la salle des marchés de SG CIB ont besoin de services post </w:t>
      </w:r>
      <w:proofErr w:type="spellStart"/>
      <w:r w:rsidRPr="004F292E">
        <w:rPr>
          <w:rFonts w:asciiTheme="minorHAnsi" w:hAnsiTheme="minorHAnsi" w:cs="Calibri"/>
          <w:color w:val="231F20"/>
        </w:rPr>
        <w:t>trade</w:t>
      </w:r>
      <w:proofErr w:type="spellEnd"/>
      <w:r w:rsidRPr="004F292E">
        <w:rPr>
          <w:rFonts w:asciiTheme="minorHAnsi" w:hAnsiTheme="minorHAnsi" w:cs="Calibri"/>
          <w:color w:val="231F20"/>
        </w:rPr>
        <w:t xml:space="preserve"> (règlement livraison, compensation, conservation, administration de fonds) que SGSS est en mesure de leur proposer.</w:t>
      </w:r>
    </w:p>
    <w:p w:rsidR="004F292E" w:rsidRDefault="007D0846" w:rsidP="00246C03">
      <w:pPr>
        <w:autoSpaceDE w:val="0"/>
        <w:autoSpaceDN w:val="0"/>
        <w:adjustRightInd w:val="0"/>
        <w:spacing w:after="0"/>
        <w:jc w:val="both"/>
        <w:rPr>
          <w:rFonts w:cs="Calibri"/>
          <w:color w:val="231F20"/>
          <w:sz w:val="20"/>
          <w:szCs w:val="20"/>
        </w:rPr>
      </w:pPr>
      <w:r w:rsidRPr="004F292E">
        <w:rPr>
          <w:rFonts w:asciiTheme="minorHAnsi" w:hAnsiTheme="minorHAnsi" w:cs="Calibri"/>
          <w:color w:val="231F20"/>
        </w:rPr>
        <w:t xml:space="preserve">Le rapprochement des équipes </w:t>
      </w:r>
      <w:r w:rsidR="0078751E" w:rsidRPr="004F292E">
        <w:rPr>
          <w:rFonts w:asciiTheme="minorHAnsi" w:hAnsiTheme="minorHAnsi" w:cs="Calibri"/>
          <w:color w:val="231F20"/>
        </w:rPr>
        <w:t xml:space="preserve">permet </w:t>
      </w:r>
      <w:r w:rsidRPr="004F292E">
        <w:rPr>
          <w:rFonts w:asciiTheme="minorHAnsi" w:hAnsiTheme="minorHAnsi" w:cs="Calibri"/>
          <w:color w:val="231F20"/>
        </w:rPr>
        <w:t>aux différentes lignes métiers de de</w:t>
      </w:r>
      <w:r w:rsidR="0078751E" w:rsidRPr="004F292E">
        <w:rPr>
          <w:rFonts w:asciiTheme="minorHAnsi" w:hAnsiTheme="minorHAnsi" w:cs="Calibri"/>
          <w:color w:val="231F20"/>
        </w:rPr>
        <w:t xml:space="preserve">venir de véritables partenaires </w:t>
      </w:r>
      <w:r w:rsidRPr="004F292E">
        <w:rPr>
          <w:rFonts w:asciiTheme="minorHAnsi" w:hAnsiTheme="minorHAnsi" w:cs="Calibri"/>
          <w:color w:val="231F20"/>
        </w:rPr>
        <w:t xml:space="preserve">stratégiques et de proposer </w:t>
      </w:r>
      <w:r w:rsidR="0078751E" w:rsidRPr="004F292E">
        <w:rPr>
          <w:rFonts w:asciiTheme="minorHAnsi" w:hAnsiTheme="minorHAnsi" w:cs="Calibri"/>
          <w:color w:val="231F20"/>
        </w:rPr>
        <w:t xml:space="preserve">aux </w:t>
      </w:r>
      <w:r w:rsidRPr="004F292E">
        <w:rPr>
          <w:rFonts w:asciiTheme="minorHAnsi" w:hAnsiTheme="minorHAnsi" w:cs="Calibri"/>
          <w:color w:val="231F20"/>
        </w:rPr>
        <w:t>clients communs des offres produits encore plus intégrées.</w:t>
      </w:r>
      <w:r w:rsidR="0078751E" w:rsidRPr="004F292E">
        <w:rPr>
          <w:rFonts w:asciiTheme="minorHAnsi" w:hAnsiTheme="minorHAnsi" w:cs="Calibri"/>
          <w:color w:val="231F20"/>
        </w:rPr>
        <w:t xml:space="preserve"> De plus, c</w:t>
      </w:r>
      <w:r w:rsidR="002F5D9F" w:rsidRPr="004F292E">
        <w:rPr>
          <w:rFonts w:asciiTheme="minorHAnsi" w:hAnsiTheme="minorHAnsi" w:cs="Calibri"/>
          <w:color w:val="231F20"/>
        </w:rPr>
        <w:t xml:space="preserve">e rapprochement des deux Pôles </w:t>
      </w:r>
      <w:r w:rsidR="0078751E" w:rsidRPr="004F292E">
        <w:rPr>
          <w:rFonts w:asciiTheme="minorHAnsi" w:hAnsiTheme="minorHAnsi" w:cs="Calibri"/>
          <w:color w:val="231F20"/>
        </w:rPr>
        <w:t xml:space="preserve">conduit </w:t>
      </w:r>
      <w:r w:rsidRPr="004F292E">
        <w:rPr>
          <w:rFonts w:asciiTheme="minorHAnsi" w:hAnsiTheme="minorHAnsi" w:cs="Calibri"/>
          <w:color w:val="231F20"/>
        </w:rPr>
        <w:t xml:space="preserve">également </w:t>
      </w:r>
      <w:r w:rsidR="0078751E" w:rsidRPr="004F292E">
        <w:rPr>
          <w:rFonts w:asciiTheme="minorHAnsi" w:hAnsiTheme="minorHAnsi" w:cs="Calibri"/>
          <w:color w:val="231F20"/>
        </w:rPr>
        <w:t>à une réduction d</w:t>
      </w:r>
      <w:r w:rsidR="002F5D9F" w:rsidRPr="004F292E">
        <w:rPr>
          <w:rFonts w:asciiTheme="minorHAnsi" w:hAnsiTheme="minorHAnsi" w:cs="Calibri"/>
          <w:color w:val="231F20"/>
        </w:rPr>
        <w:t xml:space="preserve">es coûts : </w:t>
      </w:r>
      <w:r w:rsidR="0078751E" w:rsidRPr="004F292E">
        <w:rPr>
          <w:rFonts w:asciiTheme="minorHAnsi" w:hAnsiTheme="minorHAnsi" w:cs="Calibri"/>
          <w:color w:val="231F20"/>
        </w:rPr>
        <w:t xml:space="preserve">les </w:t>
      </w:r>
      <w:r w:rsidR="002F5D9F" w:rsidRPr="004F292E">
        <w:rPr>
          <w:rFonts w:asciiTheme="minorHAnsi" w:hAnsiTheme="minorHAnsi" w:cs="Calibri"/>
          <w:color w:val="231F20"/>
        </w:rPr>
        <w:t>fonc</w:t>
      </w:r>
      <w:r w:rsidR="0078751E" w:rsidRPr="004F292E">
        <w:rPr>
          <w:rFonts w:asciiTheme="minorHAnsi" w:hAnsiTheme="minorHAnsi" w:cs="Calibri"/>
          <w:color w:val="231F20"/>
        </w:rPr>
        <w:t xml:space="preserve">tions centrales (Direction, Finance, Direction centrale des </w:t>
      </w:r>
      <w:r w:rsidR="0078751E" w:rsidRPr="004F292E">
        <w:rPr>
          <w:rFonts w:asciiTheme="minorHAnsi" w:hAnsiTheme="minorHAnsi" w:cs="Calibri"/>
          <w:b/>
          <w:color w:val="231F20"/>
        </w:rPr>
        <w:t>Systèmes d’Information</w:t>
      </w:r>
      <w:r w:rsidR="0078751E" w:rsidRPr="004F292E">
        <w:rPr>
          <w:rFonts w:asciiTheme="minorHAnsi" w:hAnsiTheme="minorHAnsi" w:cs="Calibri"/>
          <w:color w:val="231F20"/>
        </w:rPr>
        <w:t xml:space="preserve">, </w:t>
      </w:r>
      <w:r w:rsidR="004F292E">
        <w:rPr>
          <w:rFonts w:asciiTheme="minorHAnsi" w:hAnsiTheme="minorHAnsi" w:cs="Calibri"/>
          <w:color w:val="231F20"/>
        </w:rPr>
        <w:t>R</w:t>
      </w:r>
      <w:r w:rsidR="0078751E" w:rsidRPr="004F292E">
        <w:rPr>
          <w:rFonts w:asciiTheme="minorHAnsi" w:hAnsiTheme="minorHAnsi" w:cs="Calibri"/>
          <w:color w:val="231F20"/>
        </w:rPr>
        <w:t xml:space="preserve">essources Humaines et Risques) ont été fusionnées. </w:t>
      </w:r>
      <w:r w:rsidR="00AF3988" w:rsidRPr="004F292E">
        <w:rPr>
          <w:rFonts w:asciiTheme="minorHAnsi" w:hAnsiTheme="minorHAnsi" w:cs="Calibri"/>
          <w:color w:val="231F20"/>
        </w:rPr>
        <w:br/>
      </w:r>
      <w:r w:rsidR="00AF3988">
        <w:rPr>
          <w:rFonts w:cs="Calibri"/>
          <w:color w:val="231F20"/>
          <w:sz w:val="20"/>
          <w:szCs w:val="20"/>
        </w:rPr>
        <w:t xml:space="preserve">                                                         </w:t>
      </w: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4F292E" w:rsidRDefault="004F292E" w:rsidP="00246C03">
      <w:pPr>
        <w:autoSpaceDE w:val="0"/>
        <w:autoSpaceDN w:val="0"/>
        <w:adjustRightInd w:val="0"/>
        <w:spacing w:after="0"/>
        <w:jc w:val="both"/>
        <w:rPr>
          <w:rFonts w:cs="Calibri"/>
          <w:color w:val="231F20"/>
          <w:sz w:val="20"/>
          <w:szCs w:val="20"/>
        </w:rPr>
      </w:pPr>
    </w:p>
    <w:p w:rsidR="00AF3988" w:rsidRDefault="00AF3988" w:rsidP="004F292E">
      <w:pPr>
        <w:autoSpaceDE w:val="0"/>
        <w:autoSpaceDN w:val="0"/>
        <w:adjustRightInd w:val="0"/>
        <w:spacing w:after="0"/>
        <w:jc w:val="center"/>
        <w:rPr>
          <w:rFonts w:cs="Calibri"/>
          <w:i/>
          <w:color w:val="231F20"/>
          <w:sz w:val="20"/>
          <w:szCs w:val="20"/>
        </w:rPr>
      </w:pPr>
      <w:r w:rsidRPr="004F292E">
        <w:rPr>
          <w:rFonts w:cs="Calibri"/>
          <w:i/>
          <w:color w:val="231F20"/>
          <w:sz w:val="20"/>
          <w:szCs w:val="20"/>
        </w:rPr>
        <w:lastRenderedPageBreak/>
        <w:t>Organigramme de la structure de GBIS</w:t>
      </w:r>
    </w:p>
    <w:p w:rsidR="004F292E" w:rsidRPr="004F292E" w:rsidRDefault="004F292E" w:rsidP="004F292E">
      <w:pPr>
        <w:autoSpaceDE w:val="0"/>
        <w:autoSpaceDN w:val="0"/>
        <w:adjustRightInd w:val="0"/>
        <w:spacing w:after="0"/>
        <w:jc w:val="center"/>
        <w:rPr>
          <w:rFonts w:cs="Calibri"/>
          <w:i/>
          <w:color w:val="231F20"/>
          <w:sz w:val="20"/>
          <w:szCs w:val="20"/>
        </w:rPr>
      </w:pPr>
    </w:p>
    <w:p w:rsidR="002F5D9F" w:rsidRDefault="00AF3988" w:rsidP="00AF3988">
      <w:pPr>
        <w:jc w:val="center"/>
      </w:pPr>
      <w:r>
        <w:rPr>
          <w:noProof/>
          <w:lang w:eastAsia="fr-FR"/>
        </w:rPr>
        <w:drawing>
          <wp:inline distT="0" distB="0" distL="0" distR="0">
            <wp:extent cx="4444779" cy="3474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S Org.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44779" cy="3474720"/>
                    </a:xfrm>
                    <a:prstGeom prst="rect">
                      <a:avLst/>
                    </a:prstGeom>
                  </pic:spPr>
                </pic:pic>
              </a:graphicData>
            </a:graphic>
          </wp:inline>
        </w:drawing>
      </w:r>
    </w:p>
    <w:p w:rsidR="00880B4F" w:rsidRDefault="00D24707" w:rsidP="00246C03">
      <w:pPr>
        <w:pStyle w:val="Titre1"/>
      </w:pPr>
      <w:bookmarkStart w:id="4" w:name="_Toc368697783"/>
      <w:r>
        <w:t>Type et techniques de financement au sein d’OPER</w:t>
      </w:r>
      <w:bookmarkEnd w:id="4"/>
    </w:p>
    <w:p w:rsidR="00246C03" w:rsidRPr="00246C03" w:rsidRDefault="00D24707" w:rsidP="00246C03">
      <w:pPr>
        <w:pStyle w:val="Titre2"/>
        <w:jc w:val="both"/>
      </w:pPr>
      <w:bookmarkStart w:id="5" w:name="_Toc368697784"/>
      <w:r w:rsidRPr="00246C03">
        <w:t>Financement d’actifs</w:t>
      </w:r>
      <w:bookmarkEnd w:id="5"/>
    </w:p>
    <w:p w:rsidR="00D24707" w:rsidRDefault="00D24707" w:rsidP="00246C03">
      <w:pPr>
        <w:jc w:val="both"/>
      </w:pPr>
      <w:r w:rsidRPr="00D24707">
        <w:t xml:space="preserve">Le financement d’actifs a pour objectif l’acquisition d’un actif tel qu’un immeuble (Real </w:t>
      </w:r>
      <w:proofErr w:type="spellStart"/>
      <w:r w:rsidRPr="00D24707">
        <w:t>Estate</w:t>
      </w:r>
      <w:proofErr w:type="spellEnd"/>
      <w:r w:rsidRPr="00D24707">
        <w:t>), un bateau (Shipping), un avion (</w:t>
      </w:r>
      <w:proofErr w:type="spellStart"/>
      <w:r w:rsidRPr="00D24707">
        <w:t>Aircraft</w:t>
      </w:r>
      <w:proofErr w:type="spellEnd"/>
      <w:r w:rsidRPr="00D24707">
        <w:t xml:space="preserve">) ou autres. </w:t>
      </w:r>
    </w:p>
    <w:p w:rsidR="00D24707" w:rsidRDefault="00D24707" w:rsidP="00246C03">
      <w:pPr>
        <w:pStyle w:val="Titre2"/>
        <w:jc w:val="both"/>
      </w:pPr>
      <w:bookmarkStart w:id="6" w:name="_Toc368697785"/>
      <w:r>
        <w:t>Financement d’acquisition</w:t>
      </w:r>
      <w:bookmarkEnd w:id="6"/>
    </w:p>
    <w:p w:rsidR="00D24707" w:rsidRPr="00D24707" w:rsidRDefault="00D24707" w:rsidP="00246C03">
      <w:pPr>
        <w:jc w:val="both"/>
      </w:pPr>
      <w:r w:rsidRPr="00D24707">
        <w:t>Les acquisitions d’entreprises sont essentiellement financées au travers d’opérations de LBO (</w:t>
      </w:r>
      <w:proofErr w:type="spellStart"/>
      <w:r w:rsidRPr="00D24707">
        <w:t>Leveraged</w:t>
      </w:r>
      <w:proofErr w:type="spellEnd"/>
      <w:r w:rsidRPr="00D24707">
        <w:t xml:space="preserve"> </w:t>
      </w:r>
      <w:proofErr w:type="spellStart"/>
      <w:r w:rsidRPr="00D24707">
        <w:t>Buy</w:t>
      </w:r>
      <w:proofErr w:type="spellEnd"/>
      <w:r w:rsidRPr="00D24707">
        <w:t>-Out) avec effet de levier ou hors LBO (crédit remboursé par cash-flow du groupe acheteur ou par appel au marché financier).</w:t>
      </w:r>
    </w:p>
    <w:p w:rsidR="00D24707" w:rsidRDefault="00D24707" w:rsidP="00246C03">
      <w:pPr>
        <w:pStyle w:val="Titre2"/>
        <w:jc w:val="both"/>
      </w:pPr>
      <w:bookmarkStart w:id="7" w:name="_Toc368697786"/>
      <w:r>
        <w:t>Financement de projets</w:t>
      </w:r>
      <w:bookmarkEnd w:id="7"/>
    </w:p>
    <w:p w:rsidR="00D24707" w:rsidRPr="00D24707" w:rsidRDefault="00D24707" w:rsidP="00246C03">
      <w:pPr>
        <w:jc w:val="both"/>
      </w:pPr>
      <w:r w:rsidRPr="00D24707">
        <w:t>Le financement de projets est un crédit sans recours à une société ad hoc devant rembourser ses échéances grâce aux cash-flows générés par le projet. Les activités concernées sont : infrastructure, électricité, gaz-pétrole, énergies nouvelles.</w:t>
      </w:r>
    </w:p>
    <w:p w:rsidR="00D24707" w:rsidRDefault="00D24707" w:rsidP="00246C03">
      <w:pPr>
        <w:pStyle w:val="Titre2"/>
        <w:jc w:val="both"/>
      </w:pPr>
      <w:bookmarkStart w:id="8" w:name="_Toc368697787"/>
      <w:r>
        <w:t>Financement des matières premières</w:t>
      </w:r>
      <w:bookmarkEnd w:id="8"/>
    </w:p>
    <w:p w:rsidR="00D24707" w:rsidRPr="00D24707" w:rsidRDefault="00D24707" w:rsidP="00246C03">
      <w:pPr>
        <w:jc w:val="both"/>
      </w:pPr>
      <w:r w:rsidRPr="00D24707">
        <w:t>Le financement des matières premières est utilisé dans le cas d’acquisition de matériaux d'origine naturelle faisant l'objet de transformation et d'utilisation économique. On distingue les financements structurés des matières premières et les financements de négoce des matières premières.</w:t>
      </w:r>
    </w:p>
    <w:p w:rsidR="00D24707" w:rsidRDefault="00D24707" w:rsidP="00246C03">
      <w:pPr>
        <w:pStyle w:val="Titre2"/>
        <w:jc w:val="both"/>
      </w:pPr>
      <w:bookmarkStart w:id="9" w:name="_Toc368697788"/>
      <w:r>
        <w:t>Financement vanille</w:t>
      </w:r>
      <w:bookmarkEnd w:id="9"/>
    </w:p>
    <w:p w:rsidR="00D24707" w:rsidRPr="00D24707" w:rsidRDefault="00D24707" w:rsidP="00246C03">
      <w:pPr>
        <w:jc w:val="both"/>
      </w:pPr>
      <w:r w:rsidRPr="00D24707">
        <w:t xml:space="preserve">Les financements vanille concernent les financements accordés par la ligne CORI, et sont vus comme un “investissement” pour SG CIB lui permettant de développer un courant d’affaires avec ses clients. La clientèle cible est essentiellement constituée de </w:t>
      </w:r>
      <w:proofErr w:type="spellStart"/>
      <w:r w:rsidRPr="00D24707">
        <w:t>corporates</w:t>
      </w:r>
      <w:proofErr w:type="spellEnd"/>
      <w:r w:rsidRPr="00D24707">
        <w:t xml:space="preserve"> et d’institutionnels.</w:t>
      </w:r>
    </w:p>
    <w:p w:rsidR="00D24707" w:rsidRDefault="00D24707" w:rsidP="00246C03">
      <w:pPr>
        <w:pStyle w:val="Titre2"/>
        <w:jc w:val="both"/>
      </w:pPr>
      <w:bookmarkStart w:id="10" w:name="_Toc368697789"/>
      <w:r>
        <w:lastRenderedPageBreak/>
        <w:t>Financement export</w:t>
      </w:r>
      <w:bookmarkEnd w:id="10"/>
    </w:p>
    <w:p w:rsidR="00D24707" w:rsidRPr="00D24707" w:rsidRDefault="00D24707" w:rsidP="00246C03">
      <w:pPr>
        <w:jc w:val="both"/>
      </w:pPr>
      <w:r w:rsidRPr="00D24707">
        <w:t>Le financement Export concerne le financement des exportations de biens d’équipement et de services majoritairement depuis les pays de l’OCDE vers des pays émergents ou nouvellement industrialisés.</w:t>
      </w:r>
    </w:p>
    <w:p w:rsidR="00D24707" w:rsidRDefault="00D24707" w:rsidP="00246C03">
      <w:pPr>
        <w:pStyle w:val="Titre2"/>
        <w:jc w:val="both"/>
      </w:pPr>
      <w:bookmarkStart w:id="11" w:name="_Toc368697790"/>
      <w:r>
        <w:t>Titrisation</w:t>
      </w:r>
      <w:bookmarkEnd w:id="11"/>
    </w:p>
    <w:p w:rsidR="00B84CFE" w:rsidRDefault="00B84CFE" w:rsidP="00246C03">
      <w:pPr>
        <w:jc w:val="both"/>
      </w:pPr>
      <w:r w:rsidRPr="00B84CFE">
        <w:t>La titrisation est un montage financier qui permet à l’entreprise d’améliorer la liquidité de son bilan ou de limiter ses risques. Le principe consiste à transformer des actifs non liquides en titres négociables.</w:t>
      </w:r>
    </w:p>
    <w:p w:rsidR="00B84CFE" w:rsidRDefault="00B84CFE" w:rsidP="00246C03">
      <w:pPr>
        <w:pStyle w:val="Titre2"/>
        <w:jc w:val="both"/>
      </w:pPr>
      <w:bookmarkStart w:id="12" w:name="_Toc368697791"/>
      <w:r>
        <w:t>Leasing</w:t>
      </w:r>
      <w:bookmarkEnd w:id="12"/>
    </w:p>
    <w:p w:rsidR="00B84CFE" w:rsidRPr="00B84CFE" w:rsidRDefault="00B84CFE" w:rsidP="00246C03">
      <w:pPr>
        <w:jc w:val="both"/>
      </w:pPr>
      <w:r w:rsidRPr="00B84CFE">
        <w:t xml:space="preserve">Le Leasing est une méthode par laquelle une société peut lever des fonds autrement que par un emprunt standard. </w:t>
      </w:r>
    </w:p>
    <w:p w:rsidR="00B84CFE" w:rsidRPr="00B84CFE" w:rsidRDefault="00B84CFE" w:rsidP="00246C03">
      <w:pPr>
        <w:jc w:val="both"/>
      </w:pPr>
      <w:r w:rsidRPr="00B84CFE">
        <w:t>Il permet à la société (</w:t>
      </w:r>
      <w:proofErr w:type="spellStart"/>
      <w:r w:rsidRPr="00B84CFE">
        <w:t>lessee</w:t>
      </w:r>
      <w:proofErr w:type="spellEnd"/>
      <w:r w:rsidRPr="00B84CFE">
        <w:t>) de louer un actif moyennant le paiement d’un loyer sur une durée déterminée au crédit-bailleur.</w:t>
      </w:r>
    </w:p>
    <w:p w:rsidR="00B84CFE" w:rsidRDefault="00B84CFE" w:rsidP="00246C03">
      <w:pPr>
        <w:jc w:val="both"/>
      </w:pPr>
      <w:r w:rsidRPr="00B84CFE">
        <w:t xml:space="preserve"> A une date future, le </w:t>
      </w:r>
      <w:proofErr w:type="spellStart"/>
      <w:r w:rsidRPr="00B84CFE">
        <w:t>lessee</w:t>
      </w:r>
      <w:proofErr w:type="spellEnd"/>
      <w:r w:rsidRPr="00B84CFE">
        <w:t xml:space="preserve"> a la possibilité d’acheter l’actif.</w:t>
      </w:r>
    </w:p>
    <w:p w:rsidR="00B84CFE" w:rsidRDefault="00B84CFE" w:rsidP="00246C03">
      <w:pPr>
        <w:pStyle w:val="Titre1"/>
        <w:jc w:val="both"/>
      </w:pPr>
      <w:bookmarkStart w:id="13" w:name="_Toc368697792"/>
      <w:r>
        <w:t>Structuration d’une opération de leasing en financements structurés</w:t>
      </w:r>
      <w:bookmarkEnd w:id="13"/>
    </w:p>
    <w:p w:rsidR="00B84CFE" w:rsidRPr="00B84CFE" w:rsidRDefault="00B84CFE" w:rsidP="00246C03">
      <w:pPr>
        <w:pStyle w:val="Titre2"/>
        <w:jc w:val="both"/>
      </w:pPr>
      <w:bookmarkStart w:id="14" w:name="_Toc368697793"/>
      <w:r>
        <w:t>Principales caractéristiques du financement « leasing » au sein de SGCIB</w:t>
      </w:r>
      <w:bookmarkEnd w:id="14"/>
    </w:p>
    <w:p w:rsidR="0030381D" w:rsidRPr="0030381D" w:rsidRDefault="0030381D" w:rsidP="00246C03">
      <w:pPr>
        <w:jc w:val="both"/>
        <w:rPr>
          <w:sz w:val="20"/>
        </w:rPr>
      </w:pPr>
      <w:r w:rsidRPr="0030381D">
        <w:rPr>
          <w:bCs/>
          <w:sz w:val="20"/>
        </w:rPr>
        <w:t>Ce type de financement se caractérise, en général, par :</w:t>
      </w:r>
    </w:p>
    <w:p w:rsidR="0030381D" w:rsidRPr="00B84CFE" w:rsidRDefault="0030381D" w:rsidP="00246C03">
      <w:pPr>
        <w:pStyle w:val="Paragraphedeliste"/>
        <w:numPr>
          <w:ilvl w:val="0"/>
          <w:numId w:val="1"/>
        </w:numPr>
        <w:jc w:val="both"/>
      </w:pPr>
      <w:r w:rsidRPr="00B84CFE">
        <w:t>Le financement d’un SPV (</w:t>
      </w:r>
      <w:proofErr w:type="spellStart"/>
      <w:r w:rsidRPr="00B84CFE">
        <w:t>Special</w:t>
      </w:r>
      <w:proofErr w:type="spellEnd"/>
      <w:r w:rsidRPr="00B84CFE">
        <w:t xml:space="preserve"> </w:t>
      </w:r>
      <w:proofErr w:type="spellStart"/>
      <w:r w:rsidRPr="00B84CFE">
        <w:t>Purpose</w:t>
      </w:r>
      <w:proofErr w:type="spellEnd"/>
      <w:r w:rsidRPr="00B84CFE">
        <w:t xml:space="preserve"> </w:t>
      </w:r>
      <w:proofErr w:type="spellStart"/>
      <w:r w:rsidRPr="00B84CFE">
        <w:t>Vehicule</w:t>
      </w:r>
      <w:proofErr w:type="spellEnd"/>
      <w:r w:rsidRPr="00B84CFE">
        <w:t>), entité légale ad hoc dont la seule activité est le leasing</w:t>
      </w:r>
    </w:p>
    <w:p w:rsidR="0030381D" w:rsidRPr="00B84CFE" w:rsidRDefault="0030381D" w:rsidP="00246C03">
      <w:pPr>
        <w:pStyle w:val="Paragraphedeliste"/>
        <w:numPr>
          <w:ilvl w:val="0"/>
          <w:numId w:val="1"/>
        </w:numPr>
        <w:jc w:val="both"/>
      </w:pPr>
      <w:r w:rsidRPr="00B84CFE">
        <w:t>Des montants en jeu significatifs</w:t>
      </w:r>
    </w:p>
    <w:p w:rsidR="0030381D" w:rsidRPr="00B84CFE" w:rsidRDefault="0030381D" w:rsidP="00246C03">
      <w:pPr>
        <w:numPr>
          <w:ilvl w:val="1"/>
          <w:numId w:val="3"/>
        </w:numPr>
        <w:jc w:val="both"/>
      </w:pPr>
      <w:r w:rsidRPr="00B84CFE">
        <w:t>Opérations dont le coût et les délais de mise en place sont importants</w:t>
      </w:r>
    </w:p>
    <w:p w:rsidR="0030381D" w:rsidRPr="00B84CFE" w:rsidRDefault="0030381D" w:rsidP="00246C03">
      <w:pPr>
        <w:numPr>
          <w:ilvl w:val="1"/>
          <w:numId w:val="3"/>
        </w:numPr>
        <w:jc w:val="both"/>
      </w:pPr>
      <w:r w:rsidRPr="00B84CFE">
        <w:t xml:space="preserve">Actif ou ensemble d’actifs homogènes permettant de réaliser une opération d’un montant unitaire important </w:t>
      </w:r>
    </w:p>
    <w:p w:rsidR="0030381D" w:rsidRPr="00B84CFE" w:rsidRDefault="0030381D" w:rsidP="00246C03">
      <w:pPr>
        <w:pStyle w:val="Paragraphedeliste"/>
        <w:numPr>
          <w:ilvl w:val="0"/>
          <w:numId w:val="1"/>
        </w:numPr>
        <w:jc w:val="both"/>
      </w:pPr>
      <w:r w:rsidRPr="00B84CFE">
        <w:t>Un actif financé :</w:t>
      </w:r>
    </w:p>
    <w:p w:rsidR="0030381D" w:rsidRPr="00B84CFE" w:rsidRDefault="0030381D" w:rsidP="00246C03">
      <w:pPr>
        <w:numPr>
          <w:ilvl w:val="1"/>
          <w:numId w:val="3"/>
        </w:numPr>
        <w:tabs>
          <w:tab w:val="num" w:pos="2160"/>
        </w:tabs>
        <w:jc w:val="both"/>
      </w:pPr>
      <w:r w:rsidRPr="00B84CFE">
        <w:t>Mobilier / immobilier</w:t>
      </w:r>
    </w:p>
    <w:p w:rsidR="0030381D" w:rsidRPr="00B84CFE" w:rsidRDefault="0030381D" w:rsidP="00246C03">
      <w:pPr>
        <w:numPr>
          <w:ilvl w:val="1"/>
          <w:numId w:val="3"/>
        </w:numPr>
        <w:tabs>
          <w:tab w:val="num" w:pos="2160"/>
        </w:tabs>
        <w:jc w:val="both"/>
      </w:pPr>
      <w:r w:rsidRPr="00B84CFE">
        <w:t>Valorisable (valeur intrinsèque et présence d’un marché secondaire)</w:t>
      </w:r>
    </w:p>
    <w:p w:rsidR="0030381D" w:rsidRPr="00B84CFE" w:rsidRDefault="0030381D" w:rsidP="00246C03">
      <w:pPr>
        <w:pStyle w:val="Paragraphedeliste"/>
        <w:numPr>
          <w:ilvl w:val="0"/>
          <w:numId w:val="1"/>
        </w:numPr>
        <w:jc w:val="both"/>
      </w:pPr>
      <w:r w:rsidRPr="00B84CFE">
        <w:t>Un recours limité sur les sponsors / investisseurs</w:t>
      </w:r>
    </w:p>
    <w:p w:rsidR="00B84CFE" w:rsidRPr="00B84CFE" w:rsidRDefault="00B84CFE" w:rsidP="00246C03">
      <w:pPr>
        <w:jc w:val="both"/>
      </w:pPr>
      <w:r w:rsidRPr="00B84CFE">
        <w:t xml:space="preserve">Les financements de leasing font l’objet de modélisation (fichier Excel) des cash </w:t>
      </w:r>
      <w:proofErr w:type="spellStart"/>
      <w:r w:rsidRPr="00B84CFE">
        <w:t>flows</w:t>
      </w:r>
      <w:proofErr w:type="spellEnd"/>
      <w:r w:rsidRPr="00B84CFE">
        <w:t xml:space="preserve"> (ou barèmes) sur la durée de l’opération (calcul des flux, calcul des revenus, calcul de l’impôt, présentation du compte de résultat,...).</w:t>
      </w:r>
    </w:p>
    <w:p w:rsidR="0030381D" w:rsidRPr="00B84CFE" w:rsidRDefault="0030381D" w:rsidP="00246C03">
      <w:pPr>
        <w:jc w:val="both"/>
      </w:pPr>
      <w:r w:rsidRPr="00B84CFE">
        <w:rPr>
          <w:b/>
          <w:bCs/>
        </w:rPr>
        <w:t>Les principaux termes clefs</w:t>
      </w:r>
    </w:p>
    <w:p w:rsidR="0030381D" w:rsidRPr="00B84CFE" w:rsidRDefault="0030381D" w:rsidP="00246C03">
      <w:pPr>
        <w:pStyle w:val="Paragraphedeliste"/>
        <w:numPr>
          <w:ilvl w:val="0"/>
          <w:numId w:val="1"/>
        </w:numPr>
        <w:jc w:val="both"/>
      </w:pPr>
      <w:r w:rsidRPr="00B84CFE">
        <w:t xml:space="preserve">Crédit bailleur = </w:t>
      </w:r>
      <w:proofErr w:type="spellStart"/>
      <w:r w:rsidRPr="00B84CFE">
        <w:t>Lessor</w:t>
      </w:r>
      <w:proofErr w:type="spellEnd"/>
    </w:p>
    <w:p w:rsidR="0030381D" w:rsidRPr="00B84CFE" w:rsidRDefault="0030381D" w:rsidP="00246C03">
      <w:pPr>
        <w:pStyle w:val="Paragraphedeliste"/>
        <w:numPr>
          <w:ilvl w:val="0"/>
          <w:numId w:val="1"/>
        </w:numPr>
        <w:jc w:val="both"/>
      </w:pPr>
      <w:r w:rsidRPr="00B84CFE">
        <w:t xml:space="preserve">Crédit preneur / Locataire = </w:t>
      </w:r>
      <w:proofErr w:type="spellStart"/>
      <w:r w:rsidRPr="00B84CFE">
        <w:t>Lessee</w:t>
      </w:r>
      <w:proofErr w:type="spellEnd"/>
    </w:p>
    <w:p w:rsidR="0030381D" w:rsidRPr="00B84CFE" w:rsidRDefault="0030381D" w:rsidP="00246C03">
      <w:pPr>
        <w:pStyle w:val="Paragraphedeliste"/>
        <w:numPr>
          <w:ilvl w:val="0"/>
          <w:numId w:val="1"/>
        </w:numPr>
        <w:jc w:val="both"/>
      </w:pPr>
      <w:r w:rsidRPr="00B84CFE">
        <w:lastRenderedPageBreak/>
        <w:t>Crédit bail = Leasing</w:t>
      </w:r>
    </w:p>
    <w:p w:rsidR="0030381D" w:rsidRPr="0084374C" w:rsidRDefault="0030381D" w:rsidP="00246C03">
      <w:pPr>
        <w:pStyle w:val="Paragraphedeliste"/>
        <w:numPr>
          <w:ilvl w:val="0"/>
          <w:numId w:val="1"/>
        </w:numPr>
        <w:jc w:val="both"/>
        <w:rPr>
          <w:lang w:val="en-US"/>
        </w:rPr>
      </w:pPr>
      <w:proofErr w:type="spellStart"/>
      <w:r w:rsidRPr="0084374C">
        <w:rPr>
          <w:lang w:val="en-US"/>
        </w:rPr>
        <w:t>Société</w:t>
      </w:r>
      <w:proofErr w:type="spellEnd"/>
      <w:r w:rsidRPr="0084374C">
        <w:rPr>
          <w:lang w:val="en-US"/>
        </w:rPr>
        <w:t xml:space="preserve"> Ad Hoc = Special Purpose </w:t>
      </w:r>
      <w:proofErr w:type="spellStart"/>
      <w:r w:rsidRPr="0084374C">
        <w:rPr>
          <w:lang w:val="en-US"/>
        </w:rPr>
        <w:t>Vehicule</w:t>
      </w:r>
      <w:proofErr w:type="spellEnd"/>
      <w:r w:rsidRPr="0084374C">
        <w:rPr>
          <w:lang w:val="en-US"/>
        </w:rPr>
        <w:t xml:space="preserve"> (SPV)</w:t>
      </w:r>
    </w:p>
    <w:p w:rsidR="00B84CFE" w:rsidRPr="00153B64" w:rsidRDefault="00153B64" w:rsidP="009C11FE">
      <w:pPr>
        <w:pStyle w:val="Titre2"/>
      </w:pPr>
      <w:bookmarkStart w:id="15" w:name="_Toc368697794"/>
      <w:r w:rsidRPr="00153B64">
        <w:t xml:space="preserve">Comparatif avec les financements </w:t>
      </w:r>
      <w:proofErr w:type="spellStart"/>
      <w:r w:rsidRPr="00153B64">
        <w:t>corporate</w:t>
      </w:r>
      <w:proofErr w:type="spellEnd"/>
      <w:r w:rsidRPr="00153B64">
        <w:t xml:space="preserve"> </w:t>
      </w:r>
      <w:r w:rsidR="00320533">
        <w:t>« </w:t>
      </w:r>
      <w:r w:rsidRPr="00153B64">
        <w:t>vanille</w:t>
      </w:r>
      <w:bookmarkEnd w:id="15"/>
      <w:r w:rsidR="00320533">
        <w:t> »</w:t>
      </w:r>
    </w:p>
    <w:tbl>
      <w:tblPr>
        <w:tblStyle w:val="Ombrageclair"/>
        <w:tblW w:w="0" w:type="auto"/>
        <w:tblLook w:val="04A0"/>
      </w:tblPr>
      <w:tblGrid>
        <w:gridCol w:w="2093"/>
        <w:gridCol w:w="4099"/>
        <w:gridCol w:w="3096"/>
      </w:tblGrid>
      <w:tr w:rsidR="009C11FE" w:rsidTr="00246C03">
        <w:trPr>
          <w:cnfStyle w:val="100000000000"/>
        </w:trPr>
        <w:tc>
          <w:tcPr>
            <w:cnfStyle w:val="001000000000"/>
            <w:tcW w:w="2093" w:type="dxa"/>
            <w:tcBorders>
              <w:right w:val="single" w:sz="8" w:space="0" w:color="000000" w:themeColor="text1"/>
            </w:tcBorders>
          </w:tcPr>
          <w:p w:rsidR="009C11FE" w:rsidRDefault="009C11FE" w:rsidP="00B84CFE"/>
        </w:tc>
        <w:tc>
          <w:tcPr>
            <w:tcW w:w="4099" w:type="dxa"/>
            <w:tcBorders>
              <w:left w:val="single" w:sz="8" w:space="0" w:color="000000" w:themeColor="text1"/>
              <w:right w:val="single" w:sz="8" w:space="0" w:color="000000" w:themeColor="text1"/>
            </w:tcBorders>
          </w:tcPr>
          <w:p w:rsidR="009C11FE" w:rsidRDefault="009C11FE" w:rsidP="009C11FE">
            <w:pPr>
              <w:jc w:val="center"/>
              <w:cnfStyle w:val="100000000000"/>
            </w:pPr>
            <w:r>
              <w:t>Crédit-bail</w:t>
            </w:r>
          </w:p>
        </w:tc>
        <w:tc>
          <w:tcPr>
            <w:tcW w:w="3096" w:type="dxa"/>
            <w:tcBorders>
              <w:left w:val="single" w:sz="8" w:space="0" w:color="000000" w:themeColor="text1"/>
            </w:tcBorders>
          </w:tcPr>
          <w:p w:rsidR="009C11FE" w:rsidRDefault="009C11FE" w:rsidP="009C11FE">
            <w:pPr>
              <w:jc w:val="center"/>
              <w:cnfStyle w:val="100000000000"/>
            </w:pPr>
            <w:r>
              <w:t xml:space="preserve">Crédit </w:t>
            </w:r>
            <w:proofErr w:type="spellStart"/>
            <w:r>
              <w:t>Corporate</w:t>
            </w:r>
            <w:proofErr w:type="spellEnd"/>
          </w:p>
        </w:tc>
      </w:tr>
      <w:tr w:rsidR="009C11FE" w:rsidTr="00246C03">
        <w:trPr>
          <w:cnfStyle w:val="000000100000"/>
        </w:trPr>
        <w:tc>
          <w:tcPr>
            <w:cnfStyle w:val="001000000000"/>
            <w:tcW w:w="2093" w:type="dxa"/>
            <w:tcBorders>
              <w:right w:val="single" w:sz="8" w:space="0" w:color="000000" w:themeColor="text1"/>
            </w:tcBorders>
          </w:tcPr>
          <w:p w:rsidR="009C11FE" w:rsidRDefault="009C11FE" w:rsidP="00246C03">
            <w:pPr>
              <w:jc w:val="both"/>
            </w:pPr>
            <w:r>
              <w:t>Financement</w:t>
            </w:r>
          </w:p>
        </w:tc>
        <w:tc>
          <w:tcPr>
            <w:tcW w:w="4099" w:type="dxa"/>
            <w:tcBorders>
              <w:left w:val="single" w:sz="8" w:space="0" w:color="000000" w:themeColor="text1"/>
              <w:right w:val="single" w:sz="8" w:space="0" w:color="000000" w:themeColor="text1"/>
            </w:tcBorders>
          </w:tcPr>
          <w:p w:rsidR="009C11FE" w:rsidRPr="009C11FE" w:rsidRDefault="009C11FE" w:rsidP="00246C03">
            <w:pPr>
              <w:jc w:val="both"/>
              <w:cnfStyle w:val="000000100000"/>
            </w:pPr>
            <w:r w:rsidRPr="009C11FE">
              <w:t>Crédit-bail en faveur du client (</w:t>
            </w:r>
            <w:proofErr w:type="spellStart"/>
            <w:r w:rsidRPr="009C11FE">
              <w:t>lessee</w:t>
            </w:r>
            <w:proofErr w:type="spellEnd"/>
            <w:r w:rsidRPr="009C11FE">
              <w:t xml:space="preserve">) adossé à un ou plusieurs prêts bancaire en faveur du </w:t>
            </w:r>
            <w:proofErr w:type="spellStart"/>
            <w:r w:rsidRPr="009C11FE">
              <w:t>lessor</w:t>
            </w:r>
            <w:proofErr w:type="spellEnd"/>
          </w:p>
          <w:p w:rsidR="009C11FE" w:rsidRDefault="009C11FE" w:rsidP="00246C03">
            <w:pPr>
              <w:jc w:val="both"/>
              <w:cnfStyle w:val="000000100000"/>
            </w:pPr>
          </w:p>
        </w:tc>
        <w:tc>
          <w:tcPr>
            <w:tcW w:w="3096" w:type="dxa"/>
            <w:tcBorders>
              <w:left w:val="single" w:sz="8" w:space="0" w:color="000000" w:themeColor="text1"/>
            </w:tcBorders>
          </w:tcPr>
          <w:p w:rsidR="009C11FE" w:rsidRPr="009C11FE" w:rsidRDefault="009C11FE" w:rsidP="00246C03">
            <w:pPr>
              <w:jc w:val="both"/>
              <w:cnfStyle w:val="000000100000"/>
            </w:pPr>
            <w:r w:rsidRPr="009C11FE">
              <w:t>Prêt bancaire en faveur du client</w:t>
            </w:r>
          </w:p>
          <w:p w:rsidR="009C11FE" w:rsidRDefault="009C11FE" w:rsidP="00246C03">
            <w:pPr>
              <w:jc w:val="both"/>
              <w:cnfStyle w:val="000000100000"/>
            </w:pPr>
          </w:p>
        </w:tc>
      </w:tr>
      <w:tr w:rsidR="009C11FE" w:rsidTr="00246C03">
        <w:tc>
          <w:tcPr>
            <w:cnfStyle w:val="001000000000"/>
            <w:tcW w:w="2093" w:type="dxa"/>
            <w:tcBorders>
              <w:right w:val="single" w:sz="8" w:space="0" w:color="000000" w:themeColor="text1"/>
            </w:tcBorders>
          </w:tcPr>
          <w:p w:rsidR="009C11FE" w:rsidRDefault="009C11FE" w:rsidP="00246C03">
            <w:pPr>
              <w:jc w:val="both"/>
            </w:pPr>
            <w:r>
              <w:t>Propriété juridique</w:t>
            </w:r>
          </w:p>
        </w:tc>
        <w:tc>
          <w:tcPr>
            <w:tcW w:w="4099" w:type="dxa"/>
            <w:tcBorders>
              <w:left w:val="single" w:sz="8" w:space="0" w:color="000000" w:themeColor="text1"/>
              <w:right w:val="single" w:sz="8" w:space="0" w:color="000000" w:themeColor="text1"/>
            </w:tcBorders>
          </w:tcPr>
          <w:p w:rsidR="009C11FE" w:rsidRPr="009C11FE" w:rsidRDefault="009C11FE" w:rsidP="00246C03">
            <w:pPr>
              <w:jc w:val="both"/>
              <w:cnfStyle w:val="000000000000"/>
            </w:pPr>
            <w:r w:rsidRPr="009C11FE">
              <w:t>Le crédit bailleur est le propriétaire de l’actif (pas le client)</w:t>
            </w:r>
          </w:p>
          <w:p w:rsidR="009C11FE" w:rsidRPr="009C11FE" w:rsidRDefault="009C11FE" w:rsidP="00246C03">
            <w:pPr>
              <w:jc w:val="both"/>
              <w:cnfStyle w:val="000000000000"/>
            </w:pPr>
          </w:p>
        </w:tc>
        <w:tc>
          <w:tcPr>
            <w:tcW w:w="3096" w:type="dxa"/>
            <w:tcBorders>
              <w:left w:val="single" w:sz="8" w:space="0" w:color="000000" w:themeColor="text1"/>
            </w:tcBorders>
          </w:tcPr>
          <w:p w:rsidR="009C11FE" w:rsidRPr="009C11FE" w:rsidRDefault="009C11FE" w:rsidP="00246C03">
            <w:pPr>
              <w:jc w:val="both"/>
              <w:cnfStyle w:val="000000000000"/>
            </w:pPr>
            <w:r w:rsidRPr="009C11FE">
              <w:t>Le client est propriétaire de l’actif</w:t>
            </w:r>
          </w:p>
          <w:p w:rsidR="009C11FE" w:rsidRPr="009C11FE" w:rsidRDefault="009C11FE" w:rsidP="00246C03">
            <w:pPr>
              <w:jc w:val="both"/>
              <w:cnfStyle w:val="000000000000"/>
            </w:pPr>
          </w:p>
        </w:tc>
      </w:tr>
      <w:tr w:rsidR="009C11FE" w:rsidTr="00246C03">
        <w:trPr>
          <w:cnfStyle w:val="000000100000"/>
        </w:trPr>
        <w:tc>
          <w:tcPr>
            <w:cnfStyle w:val="001000000000"/>
            <w:tcW w:w="2093" w:type="dxa"/>
            <w:tcBorders>
              <w:right w:val="single" w:sz="8" w:space="0" w:color="000000" w:themeColor="text1"/>
            </w:tcBorders>
          </w:tcPr>
          <w:p w:rsidR="009C11FE" w:rsidRDefault="009C11FE" w:rsidP="00246C03">
            <w:pPr>
              <w:jc w:val="both"/>
            </w:pPr>
            <w:r>
              <w:t>Opérateur de l’actif</w:t>
            </w:r>
          </w:p>
        </w:tc>
        <w:tc>
          <w:tcPr>
            <w:tcW w:w="4099" w:type="dxa"/>
            <w:tcBorders>
              <w:left w:val="single" w:sz="8" w:space="0" w:color="000000" w:themeColor="text1"/>
              <w:right w:val="single" w:sz="8" w:space="0" w:color="000000" w:themeColor="text1"/>
            </w:tcBorders>
          </w:tcPr>
          <w:p w:rsidR="009C11FE" w:rsidRPr="009C11FE" w:rsidRDefault="009C11FE" w:rsidP="00246C03">
            <w:pPr>
              <w:jc w:val="both"/>
              <w:cnfStyle w:val="000000100000"/>
            </w:pPr>
            <w:r w:rsidRPr="009C11FE">
              <w:t>Le client (</w:t>
            </w:r>
            <w:proofErr w:type="spellStart"/>
            <w:r w:rsidRPr="009C11FE">
              <w:t>lessee</w:t>
            </w:r>
            <w:proofErr w:type="spellEnd"/>
            <w:r w:rsidRPr="009C11FE">
              <w:t>) est l’utilisateur de l’actif</w:t>
            </w:r>
          </w:p>
          <w:p w:rsidR="009C11FE" w:rsidRPr="009C11FE" w:rsidRDefault="009C11FE" w:rsidP="00246C03">
            <w:pPr>
              <w:jc w:val="both"/>
              <w:cnfStyle w:val="000000100000"/>
            </w:pPr>
          </w:p>
        </w:tc>
        <w:tc>
          <w:tcPr>
            <w:tcW w:w="3096" w:type="dxa"/>
            <w:tcBorders>
              <w:left w:val="single" w:sz="8" w:space="0" w:color="000000" w:themeColor="text1"/>
            </w:tcBorders>
          </w:tcPr>
          <w:p w:rsidR="009C11FE" w:rsidRPr="009C11FE" w:rsidRDefault="009C11FE" w:rsidP="00246C03">
            <w:pPr>
              <w:jc w:val="both"/>
              <w:cnfStyle w:val="000000100000"/>
            </w:pPr>
            <w:r w:rsidRPr="009C11FE">
              <w:t>Le client est l’utilisateur de l’actif</w:t>
            </w:r>
          </w:p>
          <w:p w:rsidR="009C11FE" w:rsidRPr="009C11FE" w:rsidRDefault="009C11FE" w:rsidP="00246C03">
            <w:pPr>
              <w:jc w:val="both"/>
              <w:cnfStyle w:val="000000100000"/>
            </w:pPr>
          </w:p>
        </w:tc>
      </w:tr>
      <w:tr w:rsidR="009C11FE" w:rsidTr="00246C03">
        <w:tc>
          <w:tcPr>
            <w:cnfStyle w:val="001000000000"/>
            <w:tcW w:w="2093" w:type="dxa"/>
            <w:tcBorders>
              <w:right w:val="single" w:sz="8" w:space="0" w:color="000000" w:themeColor="text1"/>
            </w:tcBorders>
          </w:tcPr>
          <w:p w:rsidR="009C11FE" w:rsidRDefault="009C11FE" w:rsidP="00246C03">
            <w:pPr>
              <w:jc w:val="both"/>
            </w:pPr>
            <w:r>
              <w:t>Coût</w:t>
            </w:r>
          </w:p>
        </w:tc>
        <w:tc>
          <w:tcPr>
            <w:tcW w:w="4099" w:type="dxa"/>
            <w:tcBorders>
              <w:left w:val="single" w:sz="8" w:space="0" w:color="000000" w:themeColor="text1"/>
              <w:right w:val="single" w:sz="8" w:space="0" w:color="000000" w:themeColor="text1"/>
            </w:tcBorders>
          </w:tcPr>
          <w:p w:rsidR="009C11FE" w:rsidRPr="009C11FE" w:rsidRDefault="009C11FE" w:rsidP="00246C03">
            <w:pPr>
              <w:jc w:val="both"/>
              <w:cnfStyle w:val="000000000000"/>
            </w:pPr>
            <w:r w:rsidRPr="009C11FE">
              <w:t>Leasing fiscal : coût élevé en cas de résiliation anticipée du fait du manque à gagner sur gain fiscal envisagé</w:t>
            </w:r>
          </w:p>
          <w:p w:rsidR="009C11FE" w:rsidRPr="009C11FE" w:rsidRDefault="009C11FE" w:rsidP="00246C03">
            <w:pPr>
              <w:jc w:val="both"/>
              <w:cnfStyle w:val="000000000000"/>
            </w:pPr>
            <w:r w:rsidRPr="009C11FE">
              <w:t>Leasing non fiscal : coût de rupture du prêt bancaire</w:t>
            </w:r>
          </w:p>
          <w:p w:rsidR="009C11FE" w:rsidRPr="009C11FE" w:rsidRDefault="009C11FE" w:rsidP="00246C03">
            <w:pPr>
              <w:jc w:val="both"/>
              <w:cnfStyle w:val="000000000000"/>
            </w:pPr>
          </w:p>
        </w:tc>
        <w:tc>
          <w:tcPr>
            <w:tcW w:w="3096" w:type="dxa"/>
            <w:tcBorders>
              <w:left w:val="single" w:sz="8" w:space="0" w:color="000000" w:themeColor="text1"/>
            </w:tcBorders>
          </w:tcPr>
          <w:p w:rsidR="009C11FE" w:rsidRPr="009C11FE" w:rsidRDefault="009C11FE" w:rsidP="00246C03">
            <w:pPr>
              <w:jc w:val="both"/>
              <w:cnfStyle w:val="000000000000"/>
            </w:pPr>
            <w:r w:rsidRPr="009C11FE">
              <w:t>Coût de rupture du prêt bancaire</w:t>
            </w:r>
          </w:p>
          <w:p w:rsidR="009C11FE" w:rsidRPr="009C11FE" w:rsidRDefault="009C11FE" w:rsidP="00246C03">
            <w:pPr>
              <w:jc w:val="both"/>
              <w:cnfStyle w:val="000000000000"/>
            </w:pPr>
          </w:p>
        </w:tc>
      </w:tr>
      <w:tr w:rsidR="009C11FE" w:rsidTr="00246C03">
        <w:trPr>
          <w:cnfStyle w:val="000000100000"/>
        </w:trPr>
        <w:tc>
          <w:tcPr>
            <w:cnfStyle w:val="001000000000"/>
            <w:tcW w:w="2093" w:type="dxa"/>
            <w:tcBorders>
              <w:right w:val="single" w:sz="8" w:space="0" w:color="000000" w:themeColor="text1"/>
            </w:tcBorders>
          </w:tcPr>
          <w:p w:rsidR="009C11FE" w:rsidRDefault="009C11FE" w:rsidP="00246C03">
            <w:pPr>
              <w:jc w:val="both"/>
            </w:pPr>
            <w:r>
              <w:t>Sécurités</w:t>
            </w:r>
          </w:p>
        </w:tc>
        <w:tc>
          <w:tcPr>
            <w:tcW w:w="4099" w:type="dxa"/>
            <w:tcBorders>
              <w:left w:val="single" w:sz="8" w:space="0" w:color="000000" w:themeColor="text1"/>
              <w:right w:val="single" w:sz="8" w:space="0" w:color="000000" w:themeColor="text1"/>
            </w:tcBorders>
          </w:tcPr>
          <w:p w:rsidR="009C11FE" w:rsidRPr="009C11FE" w:rsidRDefault="009C11FE" w:rsidP="00246C03">
            <w:pPr>
              <w:jc w:val="both"/>
              <w:cnfStyle w:val="000000100000"/>
            </w:pPr>
            <w:r w:rsidRPr="009C11FE">
              <w:t>Propriété de l’actif</w:t>
            </w:r>
          </w:p>
          <w:p w:rsidR="009C11FE" w:rsidRPr="009C11FE" w:rsidRDefault="009C11FE" w:rsidP="00246C03">
            <w:pPr>
              <w:jc w:val="both"/>
              <w:cnfStyle w:val="000000100000"/>
            </w:pPr>
          </w:p>
        </w:tc>
        <w:tc>
          <w:tcPr>
            <w:tcW w:w="3096" w:type="dxa"/>
            <w:tcBorders>
              <w:left w:val="single" w:sz="8" w:space="0" w:color="000000" w:themeColor="text1"/>
            </w:tcBorders>
          </w:tcPr>
          <w:p w:rsidR="009C11FE" w:rsidRPr="009C11FE" w:rsidRDefault="009C11FE" w:rsidP="00246C03">
            <w:pPr>
              <w:jc w:val="both"/>
              <w:cnfStyle w:val="000000100000"/>
            </w:pPr>
            <w:r w:rsidRPr="009C11FE">
              <w:t>Dette bancaire garantie par une sûreté sur l’actif</w:t>
            </w:r>
          </w:p>
          <w:p w:rsidR="009C11FE" w:rsidRPr="009C11FE" w:rsidRDefault="009C11FE" w:rsidP="00246C03">
            <w:pPr>
              <w:jc w:val="both"/>
              <w:cnfStyle w:val="000000100000"/>
            </w:pPr>
          </w:p>
        </w:tc>
      </w:tr>
      <w:tr w:rsidR="009C11FE" w:rsidTr="00246C03">
        <w:tc>
          <w:tcPr>
            <w:cnfStyle w:val="001000000000"/>
            <w:tcW w:w="2093" w:type="dxa"/>
            <w:tcBorders>
              <w:right w:val="single" w:sz="8" w:space="0" w:color="000000" w:themeColor="text1"/>
            </w:tcBorders>
          </w:tcPr>
          <w:p w:rsidR="009C11FE" w:rsidRDefault="009C11FE" w:rsidP="00246C03">
            <w:pPr>
              <w:jc w:val="both"/>
            </w:pPr>
            <w:r>
              <w:t>Risque</w:t>
            </w:r>
          </w:p>
        </w:tc>
        <w:tc>
          <w:tcPr>
            <w:tcW w:w="4099" w:type="dxa"/>
            <w:tcBorders>
              <w:left w:val="single" w:sz="8" w:space="0" w:color="000000" w:themeColor="text1"/>
              <w:right w:val="single" w:sz="8" w:space="0" w:color="000000" w:themeColor="text1"/>
            </w:tcBorders>
          </w:tcPr>
          <w:p w:rsidR="009C11FE" w:rsidRPr="009C11FE" w:rsidRDefault="009C11FE" w:rsidP="00246C03">
            <w:pPr>
              <w:jc w:val="both"/>
              <w:cnfStyle w:val="000000000000"/>
            </w:pPr>
            <w:r w:rsidRPr="009C11FE">
              <w:t>Risque de crédit / faillite du client</w:t>
            </w:r>
          </w:p>
          <w:p w:rsidR="009C11FE" w:rsidRPr="009C11FE" w:rsidRDefault="009C11FE" w:rsidP="00246C03">
            <w:pPr>
              <w:jc w:val="both"/>
              <w:cnfStyle w:val="000000000000"/>
            </w:pPr>
            <w:r w:rsidRPr="009C11FE">
              <w:t>(</w:t>
            </w:r>
            <w:proofErr w:type="spellStart"/>
            <w:r w:rsidRPr="009C11FE">
              <w:t>lessee</w:t>
            </w:r>
            <w:proofErr w:type="spellEnd"/>
            <w:r w:rsidRPr="009C11FE">
              <w:t>)</w:t>
            </w:r>
          </w:p>
          <w:p w:rsidR="009C11FE" w:rsidRPr="009C11FE" w:rsidRDefault="009C11FE" w:rsidP="00246C03">
            <w:pPr>
              <w:jc w:val="both"/>
              <w:cnfStyle w:val="000000000000"/>
            </w:pPr>
          </w:p>
        </w:tc>
        <w:tc>
          <w:tcPr>
            <w:tcW w:w="3096" w:type="dxa"/>
            <w:tcBorders>
              <w:left w:val="single" w:sz="8" w:space="0" w:color="000000" w:themeColor="text1"/>
            </w:tcBorders>
          </w:tcPr>
          <w:p w:rsidR="009C11FE" w:rsidRPr="009C11FE" w:rsidRDefault="009C11FE" w:rsidP="00246C03">
            <w:pPr>
              <w:jc w:val="both"/>
              <w:cnfStyle w:val="000000000000"/>
            </w:pPr>
            <w:r w:rsidRPr="009C11FE">
              <w:t>Risque de crédit / faillite de l’emprunteur</w:t>
            </w:r>
          </w:p>
          <w:p w:rsidR="009C11FE" w:rsidRPr="009C11FE" w:rsidRDefault="009C11FE" w:rsidP="00246C03">
            <w:pPr>
              <w:jc w:val="both"/>
              <w:cnfStyle w:val="000000000000"/>
            </w:pPr>
          </w:p>
        </w:tc>
      </w:tr>
      <w:tr w:rsidR="009C11FE" w:rsidTr="00246C03">
        <w:trPr>
          <w:cnfStyle w:val="000000100000"/>
        </w:trPr>
        <w:tc>
          <w:tcPr>
            <w:cnfStyle w:val="001000000000"/>
            <w:tcW w:w="2093" w:type="dxa"/>
            <w:tcBorders>
              <w:bottom w:val="single" w:sz="8" w:space="0" w:color="000000" w:themeColor="text1"/>
              <w:right w:val="single" w:sz="8" w:space="0" w:color="000000" w:themeColor="text1"/>
            </w:tcBorders>
          </w:tcPr>
          <w:p w:rsidR="009C11FE" w:rsidRDefault="009C11FE" w:rsidP="00246C03">
            <w:pPr>
              <w:jc w:val="both"/>
            </w:pPr>
            <w:r>
              <w:t>Intérêt pour le client</w:t>
            </w:r>
          </w:p>
        </w:tc>
        <w:tc>
          <w:tcPr>
            <w:tcW w:w="4099" w:type="dxa"/>
            <w:tcBorders>
              <w:left w:val="single" w:sz="8" w:space="0" w:color="000000" w:themeColor="text1"/>
              <w:bottom w:val="single" w:sz="8" w:space="0" w:color="000000" w:themeColor="text1"/>
              <w:right w:val="single" w:sz="8" w:space="0" w:color="000000" w:themeColor="text1"/>
            </w:tcBorders>
          </w:tcPr>
          <w:p w:rsidR="009C11FE" w:rsidRPr="009C11FE" w:rsidRDefault="009C11FE" w:rsidP="00246C03">
            <w:pPr>
              <w:jc w:val="both"/>
              <w:cnfStyle w:val="000000100000"/>
            </w:pPr>
            <w:r w:rsidRPr="009C11FE">
              <w:t>Utilisation du bien parfois sans impact sur le bilan du client (</w:t>
            </w:r>
            <w:proofErr w:type="spellStart"/>
            <w:r w:rsidRPr="009C11FE">
              <w:t>lessee</w:t>
            </w:r>
            <w:proofErr w:type="spellEnd"/>
            <w:r w:rsidRPr="009C11FE">
              <w:t>)</w:t>
            </w:r>
          </w:p>
          <w:p w:rsidR="009C11FE" w:rsidRPr="009C11FE" w:rsidRDefault="009C11FE" w:rsidP="00246C03">
            <w:pPr>
              <w:jc w:val="both"/>
              <w:cnfStyle w:val="000000100000"/>
            </w:pPr>
            <w:r w:rsidRPr="009C11FE">
              <w:t>Leasing fiscal : rétrocession d’une partie de l’avantage fiscal au client</w:t>
            </w:r>
          </w:p>
          <w:p w:rsidR="009C11FE" w:rsidRPr="009C11FE" w:rsidRDefault="009C11FE" w:rsidP="00246C03">
            <w:pPr>
              <w:jc w:val="both"/>
              <w:cnfStyle w:val="000000100000"/>
            </w:pPr>
          </w:p>
        </w:tc>
        <w:tc>
          <w:tcPr>
            <w:tcW w:w="3096" w:type="dxa"/>
            <w:tcBorders>
              <w:left w:val="single" w:sz="8" w:space="0" w:color="000000" w:themeColor="text1"/>
              <w:bottom w:val="single" w:sz="8" w:space="0" w:color="000000" w:themeColor="text1"/>
            </w:tcBorders>
          </w:tcPr>
          <w:p w:rsidR="009C11FE" w:rsidRPr="009C11FE" w:rsidRDefault="009C11FE" w:rsidP="00246C03">
            <w:pPr>
              <w:jc w:val="both"/>
              <w:cnfStyle w:val="000000100000"/>
            </w:pPr>
            <w:r w:rsidRPr="009C11FE">
              <w:t>L’emprunteur est propriétaire du bien dès le début du financement</w:t>
            </w:r>
          </w:p>
          <w:p w:rsidR="009C11FE" w:rsidRPr="009C11FE" w:rsidRDefault="009C11FE" w:rsidP="00246C03">
            <w:pPr>
              <w:jc w:val="both"/>
              <w:cnfStyle w:val="000000100000"/>
            </w:pPr>
          </w:p>
        </w:tc>
      </w:tr>
    </w:tbl>
    <w:p w:rsidR="00153B64" w:rsidRPr="00153B64" w:rsidRDefault="00153B64" w:rsidP="00246C03">
      <w:pPr>
        <w:jc w:val="both"/>
      </w:pPr>
    </w:p>
    <w:p w:rsidR="00B84CFE" w:rsidRPr="00153B64" w:rsidRDefault="009C11FE" w:rsidP="009C11FE">
      <w:pPr>
        <w:pStyle w:val="Titre2"/>
      </w:pPr>
      <w:bookmarkStart w:id="16" w:name="_Toc368697795"/>
      <w:r>
        <w:t>Schéma générique du leasing</w:t>
      </w:r>
      <w:bookmarkEnd w:id="16"/>
    </w:p>
    <w:p w:rsidR="00D24707" w:rsidRDefault="00E53788" w:rsidP="00D24707">
      <w:r>
        <w:rPr>
          <w:noProof/>
          <w:lang w:eastAsia="fr-FR"/>
        </w:rPr>
        <w:drawing>
          <wp:anchor distT="0" distB="0" distL="114300" distR="114300" simplePos="0" relativeHeight="251658240" behindDoc="1" locked="0" layoutInCell="1" allowOverlap="1">
            <wp:simplePos x="0" y="0"/>
            <wp:positionH relativeFrom="column">
              <wp:posOffset>392430</wp:posOffset>
            </wp:positionH>
            <wp:positionV relativeFrom="paragraph">
              <wp:posOffset>36830</wp:posOffset>
            </wp:positionV>
            <wp:extent cx="5159375" cy="2860040"/>
            <wp:effectExtent l="0" t="0" r="3175" b="0"/>
            <wp:wrapThrough wrapText="bothSides">
              <wp:wrapPolygon edited="0">
                <wp:start x="0" y="0"/>
                <wp:lineTo x="0" y="21437"/>
                <wp:lineTo x="21534" y="21437"/>
                <wp:lineTo x="21534"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génériqu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59375" cy="2860040"/>
                    </a:xfrm>
                    <a:prstGeom prst="rect">
                      <a:avLst/>
                    </a:prstGeom>
                  </pic:spPr>
                </pic:pic>
              </a:graphicData>
            </a:graphic>
          </wp:anchor>
        </w:drawing>
      </w:r>
    </w:p>
    <w:p w:rsidR="00AF3988" w:rsidRDefault="00AF3988" w:rsidP="00246C03">
      <w:pPr>
        <w:pStyle w:val="Titre1"/>
        <w:jc w:val="both"/>
      </w:pPr>
    </w:p>
    <w:p w:rsidR="00AF3988" w:rsidRDefault="00AF3988" w:rsidP="00246C03">
      <w:pPr>
        <w:pStyle w:val="Titre1"/>
        <w:jc w:val="both"/>
      </w:pPr>
      <w:r>
        <w:t xml:space="preserve"> </w:t>
      </w:r>
    </w:p>
    <w:p w:rsidR="00AF3988" w:rsidRDefault="00AF3988" w:rsidP="00AF3988"/>
    <w:p w:rsidR="00AF3988" w:rsidRDefault="00AF3988" w:rsidP="00AF3988"/>
    <w:p w:rsidR="00AF3988" w:rsidRDefault="00AF3988" w:rsidP="00AF3988"/>
    <w:p w:rsidR="00AF3988" w:rsidRDefault="00AF3988" w:rsidP="00AF3988"/>
    <w:p w:rsidR="00AF3988" w:rsidRDefault="00AF3988" w:rsidP="00AF3988">
      <w:pPr>
        <w:pStyle w:val="Titre1"/>
        <w:jc w:val="both"/>
      </w:pPr>
      <w:bookmarkStart w:id="17" w:name="_Toc368697796"/>
      <w:r w:rsidRPr="009C11FE">
        <w:lastRenderedPageBreak/>
        <w:t>Les particularités du leasing fiscal</w:t>
      </w:r>
      <w:bookmarkEnd w:id="17"/>
    </w:p>
    <w:p w:rsidR="00AF3988" w:rsidRDefault="00AF3988" w:rsidP="00AF3988">
      <w:pPr>
        <w:pStyle w:val="Titre2"/>
        <w:jc w:val="both"/>
      </w:pPr>
      <w:bookmarkStart w:id="18" w:name="_Toc368697797"/>
      <w:r>
        <w:t>Economie temporaire d’impôts</w:t>
      </w:r>
      <w:bookmarkEnd w:id="18"/>
    </w:p>
    <w:p w:rsidR="00AF3988" w:rsidRPr="00DF3AFC" w:rsidRDefault="00AF3988" w:rsidP="00AF3988">
      <w:pPr>
        <w:pStyle w:val="Titre3"/>
        <w:jc w:val="both"/>
      </w:pPr>
      <w:bookmarkStart w:id="19" w:name="_Toc368697798"/>
      <w:r w:rsidRPr="00DF3AFC">
        <w:t>Description du mécanisme fiscal utilisé</w:t>
      </w:r>
      <w:bookmarkEnd w:id="19"/>
    </w:p>
    <w:p w:rsidR="00AF3988" w:rsidRPr="00DF3AFC" w:rsidRDefault="00AF3988" w:rsidP="00AF3988">
      <w:pPr>
        <w:pStyle w:val="Paragraphedeliste"/>
        <w:numPr>
          <w:ilvl w:val="0"/>
          <w:numId w:val="1"/>
        </w:numPr>
        <w:jc w:val="both"/>
      </w:pPr>
      <w:r w:rsidRPr="00DF3AFC">
        <w:t>Les 1</w:t>
      </w:r>
      <w:r w:rsidRPr="0030381D">
        <w:rPr>
          <w:vertAlign w:val="superscript"/>
        </w:rPr>
        <w:t>ères</w:t>
      </w:r>
      <w:r w:rsidRPr="00DF3AFC">
        <w:t xml:space="preserve"> années, le SPV ou la filiale a des amortissements fiscaux supérieurs aux amortissements financiers inclus dans les loyers, ce qui génère du déficit fiscal remonté aux membres du SPV (si transparence fiscale) ou directement à la SG (si intégration fiscale). </w:t>
      </w:r>
    </w:p>
    <w:p w:rsidR="00AF3988" w:rsidRDefault="00AF3988" w:rsidP="00246C03">
      <w:pPr>
        <w:pStyle w:val="Paragraphedeliste"/>
        <w:numPr>
          <w:ilvl w:val="0"/>
          <w:numId w:val="1"/>
        </w:numPr>
        <w:jc w:val="both"/>
      </w:pPr>
    </w:p>
    <w:p w:rsidR="0030381D" w:rsidRPr="00DF3AFC" w:rsidRDefault="0030381D" w:rsidP="00246C03">
      <w:pPr>
        <w:pStyle w:val="Paragraphedeliste"/>
        <w:numPr>
          <w:ilvl w:val="0"/>
          <w:numId w:val="1"/>
        </w:numPr>
        <w:jc w:val="both"/>
      </w:pPr>
      <w:r w:rsidRPr="00DF3AFC">
        <w:t xml:space="preserve">SG reverse à sa filiale le montant d’économie d’impôt temporaire dont elle a bénéficié par la remontée du déficit fiscal des premières années </w:t>
      </w:r>
      <w:r w:rsidRPr="00B329C1">
        <w:t>(1)</w:t>
      </w:r>
      <w:r w:rsidRPr="00DF3AFC">
        <w:t>.</w:t>
      </w:r>
    </w:p>
    <w:p w:rsidR="0030381D" w:rsidRPr="00DF3AFC" w:rsidRDefault="0030381D" w:rsidP="00246C03">
      <w:pPr>
        <w:pStyle w:val="Paragraphedeliste"/>
        <w:numPr>
          <w:ilvl w:val="0"/>
          <w:numId w:val="1"/>
        </w:numPr>
        <w:jc w:val="both"/>
      </w:pPr>
      <w:r w:rsidRPr="00DF3AFC">
        <w:t>Par la suite, les résultats fiscaux du SPV / filiale deviennent bénéficiaires. Sauf avantage fiscal particulier, le cumul des résultats fiscaux est nul sur la durée de l’opération.</w:t>
      </w:r>
      <w:r w:rsidR="00B329C1" w:rsidRPr="00B329C1">
        <w:rPr>
          <w:noProof/>
          <w:lang w:eastAsia="fr-FR"/>
        </w:rPr>
        <w:t xml:space="preserve"> </w:t>
      </w:r>
      <w:r w:rsidR="00B329C1">
        <w:rPr>
          <w:noProof/>
          <w:lang w:eastAsia="fr-FR"/>
        </w:rPr>
        <w:drawing>
          <wp:inline distT="0" distB="0" distL="0" distR="0">
            <wp:extent cx="5234666" cy="2138989"/>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 du dépot.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3099" cy="2138349"/>
                    </a:xfrm>
                    <a:prstGeom prst="rect">
                      <a:avLst/>
                    </a:prstGeom>
                  </pic:spPr>
                </pic:pic>
              </a:graphicData>
            </a:graphic>
          </wp:inline>
        </w:drawing>
      </w:r>
    </w:p>
    <w:p w:rsidR="00DF3AFC" w:rsidRDefault="00DF3AFC" w:rsidP="00DF3AFC"/>
    <w:p w:rsidR="0030381D" w:rsidRPr="00B329C1" w:rsidRDefault="0030381D" w:rsidP="00246C03">
      <w:pPr>
        <w:jc w:val="both"/>
      </w:pPr>
      <w:r w:rsidRPr="00B329C1">
        <w:rPr>
          <w:b/>
          <w:bCs/>
        </w:rPr>
        <w:t xml:space="preserve">Rétrocession de l’économie d’impôt de SG maison mère vers le </w:t>
      </w:r>
      <w:proofErr w:type="spellStart"/>
      <w:r w:rsidRPr="00B329C1">
        <w:rPr>
          <w:b/>
          <w:bCs/>
        </w:rPr>
        <w:t>Lessor</w:t>
      </w:r>
      <w:proofErr w:type="spellEnd"/>
    </w:p>
    <w:p w:rsidR="0030381D" w:rsidRPr="00B329C1" w:rsidRDefault="0030381D" w:rsidP="00246C03">
      <w:pPr>
        <w:pStyle w:val="Paragraphedeliste"/>
        <w:numPr>
          <w:ilvl w:val="0"/>
          <w:numId w:val="1"/>
        </w:numPr>
        <w:jc w:val="both"/>
      </w:pPr>
      <w:r w:rsidRPr="00B329C1">
        <w:t>Entité SG à transparence fiscale</w:t>
      </w:r>
    </w:p>
    <w:p w:rsidR="00B329C1" w:rsidRDefault="009A3498" w:rsidP="009A3498">
      <w:pPr>
        <w:jc w:val="center"/>
      </w:pPr>
      <w:r>
        <w:rPr>
          <w:noProof/>
          <w:lang w:eastAsia="fr-FR"/>
        </w:rPr>
        <w:drawing>
          <wp:inline distT="0" distB="0" distL="0" distR="0">
            <wp:extent cx="4720375" cy="655608"/>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18962" cy="655412"/>
                    </a:xfrm>
                    <a:prstGeom prst="rect">
                      <a:avLst/>
                    </a:prstGeom>
                  </pic:spPr>
                </pic:pic>
              </a:graphicData>
            </a:graphic>
          </wp:inline>
        </w:drawing>
      </w:r>
    </w:p>
    <w:p w:rsidR="0030381D" w:rsidRPr="009A3498" w:rsidRDefault="0030381D" w:rsidP="00246C03">
      <w:pPr>
        <w:pStyle w:val="Paragraphedeliste"/>
        <w:numPr>
          <w:ilvl w:val="0"/>
          <w:numId w:val="1"/>
        </w:numPr>
        <w:jc w:val="both"/>
      </w:pPr>
      <w:r w:rsidRPr="009A3498">
        <w:t>Entité SG imposée à l’IS</w:t>
      </w:r>
    </w:p>
    <w:p w:rsidR="009A3498" w:rsidRPr="00DF3AFC" w:rsidRDefault="009A3498" w:rsidP="009A3498">
      <w:pPr>
        <w:jc w:val="center"/>
      </w:pPr>
      <w:r>
        <w:rPr>
          <w:noProof/>
          <w:lang w:eastAsia="fr-FR"/>
        </w:rPr>
        <w:drawing>
          <wp:inline distT="0" distB="0" distL="0" distR="0">
            <wp:extent cx="2144297" cy="373138"/>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4297" cy="373138"/>
                    </a:xfrm>
                    <a:prstGeom prst="rect">
                      <a:avLst/>
                    </a:prstGeom>
                  </pic:spPr>
                </pic:pic>
              </a:graphicData>
            </a:graphic>
          </wp:inline>
        </w:drawing>
      </w:r>
    </w:p>
    <w:p w:rsidR="0030381D" w:rsidRPr="00B329C1" w:rsidRDefault="0030381D" w:rsidP="00246C03">
      <w:pPr>
        <w:jc w:val="both"/>
      </w:pPr>
      <w:r w:rsidRPr="00B329C1">
        <w:rPr>
          <w:b/>
          <w:bCs/>
        </w:rPr>
        <w:t xml:space="preserve">Rétrocession de l’économie d’impôt du </w:t>
      </w:r>
      <w:proofErr w:type="spellStart"/>
      <w:r w:rsidRPr="00B329C1">
        <w:rPr>
          <w:b/>
          <w:bCs/>
        </w:rPr>
        <w:t>Lessor</w:t>
      </w:r>
      <w:proofErr w:type="spellEnd"/>
      <w:r w:rsidRPr="00B329C1">
        <w:rPr>
          <w:b/>
          <w:bCs/>
        </w:rPr>
        <w:t xml:space="preserve"> vers les tiers (</w:t>
      </w:r>
      <w:proofErr w:type="spellStart"/>
      <w:r w:rsidRPr="00B329C1">
        <w:rPr>
          <w:b/>
          <w:bCs/>
        </w:rPr>
        <w:t>Lessee</w:t>
      </w:r>
      <w:proofErr w:type="spellEnd"/>
      <w:r w:rsidRPr="00B329C1">
        <w:rPr>
          <w:b/>
          <w:bCs/>
        </w:rPr>
        <w:t>, Ligne métier IAB)</w:t>
      </w:r>
    </w:p>
    <w:p w:rsidR="0030381D" w:rsidRPr="00B329C1" w:rsidRDefault="0030381D" w:rsidP="00246C03">
      <w:pPr>
        <w:pStyle w:val="Paragraphedeliste"/>
        <w:numPr>
          <w:ilvl w:val="0"/>
          <w:numId w:val="1"/>
        </w:numPr>
        <w:jc w:val="both"/>
      </w:pPr>
      <w:r w:rsidRPr="00B329C1">
        <w:t>Rétrocession via un taux bonifié dans le loyer</w:t>
      </w:r>
    </w:p>
    <w:p w:rsidR="0030381D" w:rsidRPr="00B329C1" w:rsidRDefault="0030381D" w:rsidP="00246C03">
      <w:pPr>
        <w:pStyle w:val="Paragraphedeliste"/>
        <w:numPr>
          <w:ilvl w:val="0"/>
          <w:numId w:val="1"/>
        </w:numPr>
        <w:jc w:val="both"/>
      </w:pPr>
      <w:r w:rsidRPr="00B329C1">
        <w:t xml:space="preserve">Rétrocession par réduction du montant des loyers appelé aussi système d’avoir sur loyers sur la durée du </w:t>
      </w:r>
      <w:proofErr w:type="spellStart"/>
      <w:r w:rsidRPr="00B329C1">
        <w:t>lease</w:t>
      </w:r>
      <w:proofErr w:type="spellEnd"/>
      <w:r w:rsidRPr="00B329C1">
        <w:t xml:space="preserve"> ou « </w:t>
      </w:r>
      <w:proofErr w:type="spellStart"/>
      <w:r w:rsidRPr="00B329C1">
        <w:t>rental</w:t>
      </w:r>
      <w:proofErr w:type="spellEnd"/>
      <w:r w:rsidRPr="00B329C1">
        <w:t xml:space="preserve"> </w:t>
      </w:r>
      <w:proofErr w:type="spellStart"/>
      <w:r w:rsidRPr="00B329C1">
        <w:t>rebate</w:t>
      </w:r>
      <w:proofErr w:type="spellEnd"/>
      <w:r w:rsidRPr="00B329C1">
        <w:t> ».</w:t>
      </w:r>
    </w:p>
    <w:p w:rsidR="0030381D" w:rsidRPr="00B329C1" w:rsidRDefault="0030381D" w:rsidP="00246C03">
      <w:pPr>
        <w:pStyle w:val="Paragraphedeliste"/>
        <w:numPr>
          <w:ilvl w:val="0"/>
          <w:numId w:val="1"/>
        </w:numPr>
        <w:jc w:val="both"/>
      </w:pPr>
      <w:r w:rsidRPr="00B329C1">
        <w:t>Rétrocession sous forme de commissions (ex : commission d’arrangement)</w:t>
      </w:r>
    </w:p>
    <w:p w:rsidR="0030381D" w:rsidRDefault="009A3498" w:rsidP="009A3498">
      <w:pPr>
        <w:pStyle w:val="Titre3"/>
        <w:tabs>
          <w:tab w:val="left" w:pos="2337"/>
        </w:tabs>
      </w:pPr>
      <w:bookmarkStart w:id="20" w:name="_Toc368697799"/>
      <w:r>
        <w:lastRenderedPageBreak/>
        <w:t>Illustration</w:t>
      </w:r>
      <w:bookmarkEnd w:id="20"/>
      <w:r>
        <w:tab/>
      </w:r>
    </w:p>
    <w:p w:rsidR="009A3498" w:rsidRDefault="009A3498" w:rsidP="009A3498">
      <w:pPr>
        <w:ind w:left="-851"/>
        <w:jc w:val="center"/>
        <w:rPr>
          <w:i/>
        </w:rPr>
      </w:pPr>
      <w:r>
        <w:rPr>
          <w:noProof/>
          <w:lang w:eastAsia="fr-FR"/>
        </w:rPr>
        <w:drawing>
          <wp:inline distT="0" distB="0" distL="0" distR="0">
            <wp:extent cx="6858000" cy="464101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 taxlease.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80415" cy="4656181"/>
                    </a:xfrm>
                    <a:prstGeom prst="rect">
                      <a:avLst/>
                    </a:prstGeom>
                  </pic:spPr>
                </pic:pic>
              </a:graphicData>
            </a:graphic>
          </wp:inline>
        </w:drawing>
      </w:r>
      <w:r w:rsidRPr="0084374C">
        <w:t xml:space="preserve">                     Source:</w:t>
      </w:r>
      <w:r w:rsidRPr="0084374C">
        <w:rPr>
          <w:i/>
        </w:rPr>
        <w:t xml:space="preserve"> IAB Leasing, Animation OPER 201</w:t>
      </w:r>
      <w:r w:rsidR="00E53788">
        <w:rPr>
          <w:i/>
        </w:rPr>
        <w:t>3</w:t>
      </w:r>
      <w:r w:rsidRPr="0084374C">
        <w:rPr>
          <w:i/>
        </w:rPr>
        <w:t xml:space="preserve">, </w:t>
      </w:r>
      <w:r w:rsidRPr="009A3498">
        <w:rPr>
          <w:i/>
        </w:rPr>
        <w:t xml:space="preserve">Société Générale </w:t>
      </w:r>
      <w:proofErr w:type="spellStart"/>
      <w:r w:rsidRPr="009A3498">
        <w:rPr>
          <w:i/>
        </w:rPr>
        <w:t>Coporate</w:t>
      </w:r>
      <w:proofErr w:type="spellEnd"/>
      <w:r w:rsidRPr="009A3498">
        <w:rPr>
          <w:i/>
        </w:rPr>
        <w:t xml:space="preserve"> &amp; </w:t>
      </w:r>
      <w:proofErr w:type="spellStart"/>
      <w:r w:rsidRPr="009A3498">
        <w:rPr>
          <w:i/>
        </w:rPr>
        <w:t>Investment</w:t>
      </w:r>
      <w:proofErr w:type="spellEnd"/>
      <w:r w:rsidRPr="009A3498">
        <w:rPr>
          <w:i/>
        </w:rPr>
        <w:t xml:space="preserve"> </w:t>
      </w:r>
      <w:proofErr w:type="spellStart"/>
      <w:r w:rsidRPr="009A3498">
        <w:rPr>
          <w:i/>
        </w:rPr>
        <w:t>Banking</w:t>
      </w:r>
      <w:proofErr w:type="spellEnd"/>
    </w:p>
    <w:p w:rsidR="00712072" w:rsidRDefault="00712072" w:rsidP="00246C03">
      <w:pPr>
        <w:pStyle w:val="Titre2"/>
        <w:jc w:val="both"/>
      </w:pPr>
      <w:bookmarkStart w:id="21" w:name="_Toc368697800"/>
      <w:r>
        <w:t>L’économie définitive d’impôts</w:t>
      </w:r>
      <w:bookmarkEnd w:id="21"/>
    </w:p>
    <w:p w:rsidR="0030381D" w:rsidRDefault="00712072" w:rsidP="00246C03">
      <w:pPr>
        <w:jc w:val="both"/>
      </w:pPr>
      <w:r w:rsidRPr="00712072">
        <w:t>L’Etat peut décider d’accorder des aides fiscales dites « économie d’impôts définitive » dans certaines régions ou certains secteurs d’activité</w:t>
      </w:r>
      <w:r>
        <w:t xml:space="preserve">.  </w:t>
      </w:r>
      <w:r w:rsidR="0030381D" w:rsidRPr="00712072">
        <w:t xml:space="preserve">En Espagne </w:t>
      </w:r>
      <w:r>
        <w:t>par exemple, d</w:t>
      </w:r>
      <w:r w:rsidR="0030381D" w:rsidRPr="00712072">
        <w:t>ans le cas de financement de construction de navire réalisé sur un chantier de l’Union Européenne, le décret royal espagnol 442/1994 permet de bénéficier d’une subvention de l’Etat prenant la forme d’un pourcentage d’intérêts sur l’assiette d’emprunt.</w:t>
      </w:r>
    </w:p>
    <w:p w:rsidR="00712072" w:rsidRPr="00712072" w:rsidRDefault="00712072" w:rsidP="00712072">
      <w:pPr>
        <w:jc w:val="center"/>
      </w:pPr>
      <w:r>
        <w:rPr>
          <w:noProof/>
          <w:lang w:eastAsia="fr-FR"/>
        </w:rPr>
        <w:lastRenderedPageBreak/>
        <w:drawing>
          <wp:inline distT="0" distB="0" distL="0" distR="0">
            <wp:extent cx="5346192" cy="4285488"/>
            <wp:effectExtent l="0" t="0" r="6985"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 taxlease Definitive d'impot.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46192" cy="4285488"/>
                    </a:xfrm>
                    <a:prstGeom prst="rect">
                      <a:avLst/>
                    </a:prstGeom>
                  </pic:spPr>
                </pic:pic>
              </a:graphicData>
            </a:graphic>
          </wp:inline>
        </w:drawing>
      </w:r>
    </w:p>
    <w:p w:rsidR="001A57A0" w:rsidRDefault="001A57A0" w:rsidP="001A57A0">
      <w:pPr>
        <w:ind w:left="-851"/>
        <w:jc w:val="center"/>
        <w:rPr>
          <w:i/>
        </w:rPr>
      </w:pPr>
      <w:r w:rsidRPr="001A57A0">
        <w:t xml:space="preserve">                     Source:</w:t>
      </w:r>
      <w:r w:rsidRPr="001A57A0">
        <w:rPr>
          <w:i/>
        </w:rPr>
        <w:t xml:space="preserve"> IAB Leasing, Animation OPER 201</w:t>
      </w:r>
      <w:r w:rsidR="00E53788">
        <w:rPr>
          <w:i/>
        </w:rPr>
        <w:t>3</w:t>
      </w:r>
      <w:r w:rsidRPr="001A57A0">
        <w:rPr>
          <w:i/>
        </w:rPr>
        <w:t xml:space="preserve">, </w:t>
      </w:r>
      <w:r w:rsidRPr="009A3498">
        <w:rPr>
          <w:i/>
        </w:rPr>
        <w:t xml:space="preserve">Société Générale </w:t>
      </w:r>
      <w:proofErr w:type="spellStart"/>
      <w:r w:rsidRPr="009A3498">
        <w:rPr>
          <w:i/>
        </w:rPr>
        <w:t>Coporate</w:t>
      </w:r>
      <w:proofErr w:type="spellEnd"/>
      <w:r w:rsidRPr="009A3498">
        <w:rPr>
          <w:i/>
        </w:rPr>
        <w:t xml:space="preserve"> &amp; </w:t>
      </w:r>
      <w:proofErr w:type="spellStart"/>
      <w:r w:rsidRPr="009A3498">
        <w:rPr>
          <w:i/>
        </w:rPr>
        <w:t>Investment</w:t>
      </w:r>
      <w:proofErr w:type="spellEnd"/>
      <w:r w:rsidRPr="009A3498">
        <w:rPr>
          <w:i/>
        </w:rPr>
        <w:t xml:space="preserve"> </w:t>
      </w:r>
      <w:proofErr w:type="spellStart"/>
      <w:r w:rsidRPr="009A3498">
        <w:rPr>
          <w:i/>
        </w:rPr>
        <w:t>Banking</w:t>
      </w:r>
      <w:proofErr w:type="spellEnd"/>
    </w:p>
    <w:p w:rsidR="00B329C1" w:rsidRDefault="00712072" w:rsidP="009C11FE">
      <w:pPr>
        <w:pStyle w:val="Titre1"/>
      </w:pPr>
      <w:bookmarkStart w:id="22" w:name="_Toc368697801"/>
      <w:r>
        <w:t>Les risques liés aux opérations de leasing</w:t>
      </w:r>
      <w:bookmarkEnd w:id="22"/>
    </w:p>
    <w:p w:rsidR="00712072" w:rsidRPr="00712072" w:rsidRDefault="00712072" w:rsidP="007D1028">
      <w:pPr>
        <w:pStyle w:val="Titre2"/>
        <w:jc w:val="both"/>
      </w:pPr>
      <w:bookmarkStart w:id="23" w:name="_Toc368697802"/>
      <w:r>
        <w:t>Principaux risques de crédit</w:t>
      </w:r>
      <w:bookmarkEnd w:id="23"/>
    </w:p>
    <w:p w:rsidR="0030381D" w:rsidRPr="00712072" w:rsidRDefault="0030381D" w:rsidP="007D1028">
      <w:pPr>
        <w:pStyle w:val="Titre3"/>
        <w:jc w:val="both"/>
      </w:pPr>
      <w:bookmarkStart w:id="24" w:name="_Toc368697803"/>
      <w:r w:rsidRPr="00712072">
        <w:t xml:space="preserve">Risque de contrepartie sur le </w:t>
      </w:r>
      <w:r w:rsidR="001A57A0" w:rsidRPr="00712072">
        <w:t>non-paiement</w:t>
      </w:r>
      <w:r w:rsidRPr="00712072">
        <w:t xml:space="preserve"> des loyers</w:t>
      </w:r>
      <w:bookmarkEnd w:id="24"/>
    </w:p>
    <w:p w:rsidR="00712072" w:rsidRDefault="0030381D" w:rsidP="007D1028">
      <w:pPr>
        <w:pStyle w:val="Paragraphedeliste"/>
        <w:numPr>
          <w:ilvl w:val="0"/>
          <w:numId w:val="1"/>
        </w:numPr>
        <w:jc w:val="both"/>
      </w:pPr>
      <w:r w:rsidRPr="00712072">
        <w:t xml:space="preserve">Lié à la potentielle incapacité du </w:t>
      </w:r>
      <w:proofErr w:type="spellStart"/>
      <w:r w:rsidRPr="00712072">
        <w:t>Lessee</w:t>
      </w:r>
      <w:proofErr w:type="spellEnd"/>
      <w:r w:rsidRPr="00712072">
        <w:t xml:space="preserve"> d’honorer les échéances de crédit-bail en cours de vie de la transaction. </w:t>
      </w:r>
    </w:p>
    <w:p w:rsidR="0030381D" w:rsidRPr="00712072" w:rsidRDefault="0030381D" w:rsidP="007D1028">
      <w:pPr>
        <w:pStyle w:val="Paragraphedeliste"/>
        <w:numPr>
          <w:ilvl w:val="0"/>
          <w:numId w:val="1"/>
        </w:numPr>
        <w:jc w:val="both"/>
      </w:pPr>
      <w:r w:rsidRPr="00712072">
        <w:rPr>
          <w:b/>
          <w:bCs/>
          <w:i/>
          <w:iCs/>
        </w:rPr>
        <w:t xml:space="preserve">Palliatif : </w:t>
      </w:r>
      <w:r w:rsidRPr="00712072">
        <w:t>Mise en place de dépôt sur compte nanti / garantie maison mère, bancaire / hypothèque ...</w:t>
      </w:r>
    </w:p>
    <w:p w:rsidR="0030381D" w:rsidRPr="00712072" w:rsidRDefault="0030381D" w:rsidP="007D1028">
      <w:pPr>
        <w:pStyle w:val="Titre3"/>
        <w:jc w:val="both"/>
      </w:pPr>
      <w:bookmarkStart w:id="25" w:name="_Toc368697804"/>
      <w:r w:rsidRPr="00712072">
        <w:t>Risque de contrepartie lié aux taux / change</w:t>
      </w:r>
      <w:bookmarkEnd w:id="25"/>
    </w:p>
    <w:p w:rsidR="0030381D" w:rsidRPr="00712072" w:rsidRDefault="0030381D" w:rsidP="007D1028">
      <w:pPr>
        <w:pStyle w:val="Paragraphedeliste"/>
        <w:numPr>
          <w:ilvl w:val="0"/>
          <w:numId w:val="1"/>
        </w:numPr>
        <w:jc w:val="both"/>
      </w:pPr>
      <w:r w:rsidRPr="00712072">
        <w:t>Concerne le risque lié à l’évolution des taux d’intérêts et des taux de change, dans le cas d’écarts d’adossements dus à des erreurs de gestion</w:t>
      </w:r>
    </w:p>
    <w:p w:rsidR="0030381D" w:rsidRPr="00712072" w:rsidRDefault="0030381D" w:rsidP="007D1028">
      <w:pPr>
        <w:pStyle w:val="Paragraphedeliste"/>
        <w:numPr>
          <w:ilvl w:val="0"/>
          <w:numId w:val="1"/>
        </w:numPr>
        <w:jc w:val="both"/>
      </w:pPr>
      <w:r w:rsidRPr="00712072">
        <w:t>Palliatif : Mise en place de couvertures de taux et de change (swap de taux, swap de change) pour assurer un adossement parfait.</w:t>
      </w:r>
    </w:p>
    <w:p w:rsidR="0030381D" w:rsidRPr="00712072" w:rsidRDefault="0030381D" w:rsidP="007D1028">
      <w:pPr>
        <w:pStyle w:val="Titre3"/>
        <w:jc w:val="both"/>
      </w:pPr>
      <w:bookmarkStart w:id="26" w:name="_Toc368697805"/>
      <w:r w:rsidRPr="00712072">
        <w:t>Risque de construction</w:t>
      </w:r>
      <w:bookmarkEnd w:id="26"/>
    </w:p>
    <w:p w:rsidR="0030381D" w:rsidRPr="00712072" w:rsidRDefault="0030381D" w:rsidP="007D1028">
      <w:pPr>
        <w:pStyle w:val="Paragraphedeliste"/>
        <w:numPr>
          <w:ilvl w:val="0"/>
          <w:numId w:val="1"/>
        </w:numPr>
        <w:jc w:val="both"/>
      </w:pPr>
      <w:r w:rsidRPr="00712072">
        <w:t xml:space="preserve">Se réfère à l’incapacité du maître d’ouvrage à finaliser, dans les termes prévus par le contrat, la construction de l’actif financé. </w:t>
      </w:r>
    </w:p>
    <w:p w:rsidR="0030381D" w:rsidRPr="00712072" w:rsidRDefault="0030381D" w:rsidP="007D1028">
      <w:pPr>
        <w:pStyle w:val="Paragraphedeliste"/>
        <w:numPr>
          <w:ilvl w:val="0"/>
          <w:numId w:val="1"/>
        </w:numPr>
        <w:jc w:val="both"/>
      </w:pPr>
      <w:r w:rsidRPr="00712072">
        <w:t xml:space="preserve">Palliatif : </w:t>
      </w:r>
    </w:p>
    <w:p w:rsidR="0030381D" w:rsidRPr="00712072" w:rsidRDefault="0030381D" w:rsidP="007D1028">
      <w:pPr>
        <w:numPr>
          <w:ilvl w:val="1"/>
          <w:numId w:val="11"/>
        </w:numPr>
        <w:jc w:val="both"/>
      </w:pPr>
      <w:r w:rsidRPr="00712072">
        <w:lastRenderedPageBreak/>
        <w:t xml:space="preserve">Pour le bailleur, il peut-être soit couvert par une garantie d’achèvement délivrée par une contrepartie acceptable ou un établissement bancaire, soit par des clauses de recours auprès du preneur. </w:t>
      </w:r>
    </w:p>
    <w:p w:rsidR="0030381D" w:rsidRDefault="0030381D" w:rsidP="007D1028">
      <w:pPr>
        <w:numPr>
          <w:ilvl w:val="1"/>
          <w:numId w:val="11"/>
        </w:numPr>
        <w:jc w:val="both"/>
      </w:pPr>
      <w:r w:rsidRPr="00712072">
        <w:t xml:space="preserve">Pour certains sous-jacents, (AER, ABF), la banque ne prend pas ce risque car le financement n’intervient qu’au moment de la livraison. </w:t>
      </w:r>
    </w:p>
    <w:p w:rsidR="00712072" w:rsidRPr="00712072" w:rsidRDefault="00712072" w:rsidP="007D1028">
      <w:pPr>
        <w:pStyle w:val="Titre2"/>
        <w:jc w:val="both"/>
      </w:pPr>
      <w:bookmarkStart w:id="27" w:name="_Toc368697806"/>
      <w:r>
        <w:t>Risques sur Actif</w:t>
      </w:r>
      <w:bookmarkEnd w:id="27"/>
    </w:p>
    <w:p w:rsidR="0030381D" w:rsidRPr="00712072" w:rsidRDefault="0030381D" w:rsidP="007D1028">
      <w:pPr>
        <w:pStyle w:val="Titre3"/>
        <w:jc w:val="both"/>
      </w:pPr>
      <w:bookmarkStart w:id="28" w:name="_Toc368697807"/>
      <w:r w:rsidRPr="00712072">
        <w:t>Risque de valeur résiduelle</w:t>
      </w:r>
      <w:bookmarkEnd w:id="28"/>
    </w:p>
    <w:p w:rsidR="0030381D" w:rsidRPr="00712072" w:rsidRDefault="0030381D" w:rsidP="007D1028">
      <w:pPr>
        <w:pStyle w:val="Paragraphedeliste"/>
        <w:numPr>
          <w:ilvl w:val="0"/>
          <w:numId w:val="1"/>
        </w:numPr>
        <w:jc w:val="both"/>
      </w:pPr>
      <w:r w:rsidRPr="00712072">
        <w:t xml:space="preserve">Concerne les cas (leasing opérationnel principalement) pour lesquels il y a risque que la valeur de marché au terme du </w:t>
      </w:r>
      <w:proofErr w:type="spellStart"/>
      <w:r w:rsidRPr="00712072">
        <w:t>lease</w:t>
      </w:r>
      <w:proofErr w:type="spellEnd"/>
      <w:r w:rsidRPr="00712072">
        <w:t xml:space="preserve"> soit inférieure au montant résiduel du bien.</w:t>
      </w:r>
    </w:p>
    <w:p w:rsidR="0030381D" w:rsidRPr="00712072" w:rsidRDefault="0030381D" w:rsidP="007D1028">
      <w:pPr>
        <w:pStyle w:val="Paragraphedeliste"/>
        <w:numPr>
          <w:ilvl w:val="0"/>
          <w:numId w:val="1"/>
        </w:numPr>
        <w:jc w:val="both"/>
      </w:pPr>
      <w:r w:rsidRPr="00712072">
        <w:t xml:space="preserve">Palliatifs : </w:t>
      </w:r>
    </w:p>
    <w:p w:rsidR="0030381D" w:rsidRPr="00712072" w:rsidRDefault="0030381D" w:rsidP="007D1028">
      <w:pPr>
        <w:numPr>
          <w:ilvl w:val="1"/>
          <w:numId w:val="11"/>
        </w:numPr>
        <w:jc w:val="both"/>
      </w:pPr>
      <w:r w:rsidRPr="00712072">
        <w:t>Appel à des garants sur la valeur résiduelle OU Réduction de la valeur du prêt accordé</w:t>
      </w:r>
    </w:p>
    <w:p w:rsidR="0030381D" w:rsidRPr="00712072" w:rsidRDefault="0030381D" w:rsidP="007D1028">
      <w:pPr>
        <w:numPr>
          <w:ilvl w:val="1"/>
          <w:numId w:val="11"/>
        </w:numPr>
        <w:jc w:val="both"/>
      </w:pPr>
      <w:r w:rsidRPr="00712072">
        <w:t>Toutefois, il n’y a pas toujours de palliatif mis en place, du fait d’un choix de structuration (ex. RAIL).</w:t>
      </w:r>
    </w:p>
    <w:p w:rsidR="0030381D" w:rsidRPr="00712072" w:rsidRDefault="0030381D" w:rsidP="007D1028">
      <w:pPr>
        <w:pStyle w:val="Titre3"/>
        <w:jc w:val="both"/>
      </w:pPr>
      <w:bookmarkStart w:id="29" w:name="_Toc368697808"/>
      <w:r w:rsidRPr="00712072">
        <w:t>Risque de maintenance</w:t>
      </w:r>
      <w:bookmarkEnd w:id="29"/>
    </w:p>
    <w:p w:rsidR="0030381D" w:rsidRPr="00712072" w:rsidRDefault="0030381D" w:rsidP="007D1028">
      <w:pPr>
        <w:pStyle w:val="Paragraphedeliste"/>
        <w:numPr>
          <w:ilvl w:val="0"/>
          <w:numId w:val="1"/>
        </w:numPr>
        <w:jc w:val="both"/>
      </w:pPr>
      <w:r w:rsidRPr="00712072">
        <w:t>Concerne le risque de dégradation de l’actif au cours du temps. Risque faible en cas de leasing financier, fort en cas de leasing opérationnel</w:t>
      </w:r>
    </w:p>
    <w:p w:rsidR="0030381D" w:rsidRPr="00712072" w:rsidRDefault="0030381D" w:rsidP="007D1028">
      <w:pPr>
        <w:pStyle w:val="Paragraphedeliste"/>
        <w:numPr>
          <w:ilvl w:val="0"/>
          <w:numId w:val="1"/>
        </w:numPr>
        <w:jc w:val="both"/>
      </w:pPr>
      <w:r w:rsidRPr="00712072">
        <w:t xml:space="preserve">Palliatifs leasing financier : </w:t>
      </w:r>
    </w:p>
    <w:p w:rsidR="0030381D" w:rsidRPr="00712072" w:rsidRDefault="0030381D" w:rsidP="007D1028">
      <w:pPr>
        <w:numPr>
          <w:ilvl w:val="1"/>
          <w:numId w:val="11"/>
        </w:numPr>
        <w:jc w:val="both"/>
      </w:pPr>
      <w:r w:rsidRPr="00712072">
        <w:t xml:space="preserve">Mise en place de clause permettant une inspection de l’actif en cas de dégradation de la qualité de la contrepartie </w:t>
      </w:r>
    </w:p>
    <w:p w:rsidR="0030381D" w:rsidRPr="00712072" w:rsidRDefault="0030381D" w:rsidP="007D1028">
      <w:pPr>
        <w:numPr>
          <w:ilvl w:val="1"/>
          <w:numId w:val="11"/>
        </w:numPr>
        <w:jc w:val="both"/>
      </w:pPr>
      <w:r w:rsidRPr="00712072">
        <w:t>Mise en place d’un covenant exigeant une maintenance minimum.</w:t>
      </w:r>
    </w:p>
    <w:p w:rsidR="0030381D" w:rsidRPr="00712072" w:rsidRDefault="0030381D" w:rsidP="007D1028">
      <w:pPr>
        <w:pStyle w:val="Paragraphedeliste"/>
        <w:numPr>
          <w:ilvl w:val="0"/>
          <w:numId w:val="1"/>
        </w:numPr>
        <w:jc w:val="both"/>
      </w:pPr>
      <w:r w:rsidRPr="00712072">
        <w:t xml:space="preserve">Palliatifs complémentaires dans le cas d’un leasing opérationnel : </w:t>
      </w:r>
    </w:p>
    <w:p w:rsidR="0030381D" w:rsidRPr="00712072" w:rsidRDefault="0030381D" w:rsidP="007D1028">
      <w:pPr>
        <w:numPr>
          <w:ilvl w:val="1"/>
          <w:numId w:val="11"/>
        </w:numPr>
        <w:jc w:val="both"/>
      </w:pPr>
      <w:r w:rsidRPr="00712072">
        <w:t>Mise en place d’une réserve de maintenance</w:t>
      </w:r>
    </w:p>
    <w:p w:rsidR="0030381D" w:rsidRPr="00712072" w:rsidRDefault="0030381D" w:rsidP="007D1028">
      <w:pPr>
        <w:numPr>
          <w:ilvl w:val="1"/>
          <w:numId w:val="11"/>
        </w:numPr>
        <w:jc w:val="both"/>
      </w:pPr>
      <w:r w:rsidRPr="00712072">
        <w:t xml:space="preserve">Mise en place d’un loyer additionnel pour payer les maintenances obligatoires </w:t>
      </w:r>
    </w:p>
    <w:p w:rsidR="0030381D" w:rsidRDefault="0030381D" w:rsidP="007D1028">
      <w:pPr>
        <w:numPr>
          <w:ilvl w:val="1"/>
          <w:numId w:val="11"/>
        </w:numPr>
        <w:jc w:val="both"/>
      </w:pPr>
      <w:r w:rsidRPr="00712072">
        <w:t>Suivi rigoureux de l’état de l’actif tout au long de la vie du financement.</w:t>
      </w:r>
    </w:p>
    <w:p w:rsidR="0030381D" w:rsidRPr="00712072" w:rsidRDefault="0030381D" w:rsidP="007D1028">
      <w:pPr>
        <w:pStyle w:val="Titre3"/>
        <w:jc w:val="both"/>
      </w:pPr>
      <w:bookmarkStart w:id="30" w:name="_Toc368697809"/>
      <w:r w:rsidRPr="00712072">
        <w:t>Risque d’utilisation de l’actif</w:t>
      </w:r>
      <w:bookmarkEnd w:id="30"/>
    </w:p>
    <w:p w:rsidR="0030381D" w:rsidRPr="00712072" w:rsidRDefault="0030381D" w:rsidP="007D1028">
      <w:pPr>
        <w:pStyle w:val="Paragraphedeliste"/>
        <w:numPr>
          <w:ilvl w:val="0"/>
          <w:numId w:val="1"/>
        </w:numPr>
        <w:jc w:val="both"/>
      </w:pPr>
      <w:r w:rsidRPr="00712072">
        <w:t>Concerne le risque de dommages causés aux tiers (personnes / objets) par le bien financé</w:t>
      </w:r>
    </w:p>
    <w:p w:rsidR="0030381D" w:rsidRPr="00712072" w:rsidRDefault="0030381D" w:rsidP="007D1028">
      <w:pPr>
        <w:pStyle w:val="Paragraphedeliste"/>
        <w:numPr>
          <w:ilvl w:val="0"/>
          <w:numId w:val="1"/>
        </w:numPr>
        <w:jc w:val="both"/>
      </w:pPr>
      <w:r w:rsidRPr="00712072">
        <w:t>Et le risque de perte de l’actif. Risques forts quand la SG est propriétaire</w:t>
      </w:r>
    </w:p>
    <w:p w:rsidR="0030381D" w:rsidRPr="00712072" w:rsidRDefault="0030381D" w:rsidP="007D1028">
      <w:pPr>
        <w:pStyle w:val="Paragraphedeliste"/>
        <w:numPr>
          <w:ilvl w:val="0"/>
          <w:numId w:val="1"/>
        </w:numPr>
        <w:jc w:val="both"/>
      </w:pPr>
      <w:r w:rsidRPr="00712072">
        <w:t>Palliatif : mise en place (par le client) de polices d’assurances responsabilité civile et assurance dommages.</w:t>
      </w:r>
    </w:p>
    <w:p w:rsidR="0030381D" w:rsidRPr="00712072" w:rsidRDefault="0030381D" w:rsidP="007D1028">
      <w:pPr>
        <w:pStyle w:val="Titre3"/>
        <w:jc w:val="both"/>
      </w:pPr>
      <w:bookmarkStart w:id="31" w:name="_Toc368697810"/>
      <w:r w:rsidRPr="00712072">
        <w:t>Risque de repossession de l’actif</w:t>
      </w:r>
      <w:bookmarkEnd w:id="31"/>
    </w:p>
    <w:p w:rsidR="0030381D" w:rsidRPr="00712072" w:rsidRDefault="0030381D" w:rsidP="007D1028">
      <w:pPr>
        <w:pStyle w:val="Paragraphedeliste"/>
        <w:numPr>
          <w:ilvl w:val="0"/>
          <w:numId w:val="1"/>
        </w:numPr>
        <w:jc w:val="both"/>
      </w:pPr>
      <w:r w:rsidRPr="00712072">
        <w:t xml:space="preserve">Concerne le risque pour la SG (entité de </w:t>
      </w:r>
      <w:r w:rsidR="001A57A0" w:rsidRPr="00712072">
        <w:t>crédit-bail</w:t>
      </w:r>
      <w:r w:rsidRPr="00712072">
        <w:t xml:space="preserve">) de devoir gérer l’actif en cas de faillite du </w:t>
      </w:r>
      <w:proofErr w:type="spellStart"/>
      <w:r w:rsidRPr="00712072">
        <w:t>Lessee</w:t>
      </w:r>
      <w:proofErr w:type="spellEnd"/>
      <w:r w:rsidRPr="00712072">
        <w:t>.</w:t>
      </w:r>
    </w:p>
    <w:p w:rsidR="0030381D" w:rsidRDefault="0030381D" w:rsidP="007D1028">
      <w:pPr>
        <w:pStyle w:val="Paragraphedeliste"/>
        <w:numPr>
          <w:ilvl w:val="0"/>
          <w:numId w:val="1"/>
        </w:numPr>
        <w:jc w:val="both"/>
      </w:pPr>
      <w:r w:rsidRPr="00712072">
        <w:t>Palliatif : identification et mandat d’un prestataire qui pourrait prendre en charge la gestion du bien (maintenance,...) et éventuellement la commercialisation.</w:t>
      </w:r>
    </w:p>
    <w:p w:rsidR="00712072" w:rsidRPr="00712072" w:rsidRDefault="00712072" w:rsidP="007D1028">
      <w:pPr>
        <w:pStyle w:val="Titre2"/>
        <w:jc w:val="both"/>
      </w:pPr>
      <w:bookmarkStart w:id="32" w:name="_Toc368697811"/>
      <w:r>
        <w:lastRenderedPageBreak/>
        <w:t>Risques fiscaux</w:t>
      </w:r>
      <w:bookmarkEnd w:id="32"/>
    </w:p>
    <w:p w:rsidR="0030381D" w:rsidRPr="00712072" w:rsidRDefault="0030381D" w:rsidP="007D1028">
      <w:pPr>
        <w:pStyle w:val="Titre3"/>
        <w:jc w:val="both"/>
      </w:pPr>
      <w:bookmarkStart w:id="33" w:name="_Toc368697812"/>
      <w:r w:rsidRPr="00712072">
        <w:t>Risque d’environnement réglementaire</w:t>
      </w:r>
      <w:bookmarkEnd w:id="33"/>
    </w:p>
    <w:p w:rsidR="0030381D" w:rsidRPr="00712072" w:rsidRDefault="0030381D" w:rsidP="007D1028">
      <w:pPr>
        <w:pStyle w:val="Paragraphedeliste"/>
        <w:numPr>
          <w:ilvl w:val="0"/>
          <w:numId w:val="1"/>
        </w:numPr>
        <w:jc w:val="both"/>
      </w:pPr>
      <w:r w:rsidRPr="00712072">
        <w:t>Concerne le risque lié aux décisions gouvernementales ayant pour conséquence un changement  de la législation fiscale ou des conventions bilatérales sur lesquelles repose l’optimisation fiscale.</w:t>
      </w:r>
    </w:p>
    <w:p w:rsidR="0030381D" w:rsidRPr="00712072" w:rsidRDefault="0030381D" w:rsidP="007D1028">
      <w:pPr>
        <w:pStyle w:val="Paragraphedeliste"/>
        <w:numPr>
          <w:ilvl w:val="0"/>
          <w:numId w:val="1"/>
        </w:numPr>
        <w:jc w:val="both"/>
      </w:pPr>
      <w:r w:rsidRPr="00712072">
        <w:t>Palliatifs :</w:t>
      </w:r>
    </w:p>
    <w:p w:rsidR="0030381D" w:rsidRPr="00712072" w:rsidRDefault="0030381D" w:rsidP="007D1028">
      <w:pPr>
        <w:numPr>
          <w:ilvl w:val="1"/>
          <w:numId w:val="11"/>
        </w:numPr>
        <w:jc w:val="both"/>
      </w:pPr>
      <w:r w:rsidRPr="00712072">
        <w:t>Partage équitable des risques entre le client et la banque.</w:t>
      </w:r>
    </w:p>
    <w:p w:rsidR="0030381D" w:rsidRPr="00712072" w:rsidRDefault="0030381D" w:rsidP="007D1028">
      <w:pPr>
        <w:numPr>
          <w:ilvl w:val="1"/>
          <w:numId w:val="11"/>
        </w:numPr>
        <w:jc w:val="both"/>
      </w:pPr>
      <w:r w:rsidRPr="00712072">
        <w:t xml:space="preserve">Ajout d’une clause de rupture du </w:t>
      </w:r>
      <w:r w:rsidR="00712072" w:rsidRPr="00712072">
        <w:t>crédit-bail</w:t>
      </w:r>
      <w:r w:rsidRPr="00712072">
        <w:t xml:space="preserve"> en cas de changements très significatifs et défavorables pour la banque.</w:t>
      </w:r>
    </w:p>
    <w:p w:rsidR="0030381D" w:rsidRPr="00712072" w:rsidRDefault="0030381D" w:rsidP="007D1028">
      <w:pPr>
        <w:pStyle w:val="Titre3"/>
        <w:jc w:val="both"/>
      </w:pPr>
      <w:bookmarkStart w:id="34" w:name="_Toc368697813"/>
      <w:r w:rsidRPr="00712072">
        <w:t>Risque fiscal, en cas de résiliation anticipée du contrat</w:t>
      </w:r>
      <w:bookmarkEnd w:id="34"/>
    </w:p>
    <w:p w:rsidR="0030381D" w:rsidRPr="00712072" w:rsidRDefault="0030381D" w:rsidP="007D1028">
      <w:pPr>
        <w:pStyle w:val="Paragraphedeliste"/>
        <w:numPr>
          <w:ilvl w:val="0"/>
          <w:numId w:val="1"/>
        </w:numPr>
        <w:jc w:val="both"/>
      </w:pPr>
      <w:r w:rsidRPr="00712072">
        <w:t>Communément appelé « </w:t>
      </w:r>
      <w:proofErr w:type="spellStart"/>
      <w:r w:rsidRPr="00712072">
        <w:t>strip</w:t>
      </w:r>
      <w:proofErr w:type="spellEnd"/>
      <w:r w:rsidRPr="00712072">
        <w:t xml:space="preserve"> </w:t>
      </w:r>
      <w:proofErr w:type="spellStart"/>
      <w:r w:rsidRPr="00712072">
        <w:t>risk</w:t>
      </w:r>
      <w:proofErr w:type="spellEnd"/>
      <w:r w:rsidRPr="00712072">
        <w:t> », il correspond, en général, au risque que l’avantage fiscal déjà rétrocédé au client ne soit finalement pas acquis par la banque.</w:t>
      </w:r>
    </w:p>
    <w:p w:rsidR="0030381D" w:rsidRPr="00712072" w:rsidRDefault="0030381D" w:rsidP="007D1028">
      <w:pPr>
        <w:pStyle w:val="Paragraphedeliste"/>
        <w:numPr>
          <w:ilvl w:val="0"/>
          <w:numId w:val="1"/>
        </w:numPr>
        <w:jc w:val="both"/>
      </w:pPr>
      <w:r w:rsidRPr="00712072">
        <w:t>Palliatif : en cas de résiliation anticipée, paiement par le client d’une indemnité de résiliation spécifique.</w:t>
      </w:r>
    </w:p>
    <w:p w:rsidR="0030381D" w:rsidRPr="00712072" w:rsidRDefault="0030381D" w:rsidP="007D1028">
      <w:pPr>
        <w:pStyle w:val="Titre3"/>
        <w:jc w:val="both"/>
      </w:pPr>
      <w:bookmarkStart w:id="35" w:name="_Toc368697814"/>
      <w:r w:rsidRPr="00712072">
        <w:t>Insuffisance potentielle de capacité fiscale du groupe SG</w:t>
      </w:r>
      <w:bookmarkEnd w:id="35"/>
    </w:p>
    <w:p w:rsidR="0030381D" w:rsidRDefault="0030381D" w:rsidP="007D1028">
      <w:pPr>
        <w:pStyle w:val="Paragraphedeliste"/>
        <w:numPr>
          <w:ilvl w:val="0"/>
          <w:numId w:val="1"/>
        </w:numPr>
        <w:jc w:val="both"/>
      </w:pPr>
      <w:r w:rsidRPr="00712072">
        <w:t>Palliatif : aucun, en général.</w:t>
      </w:r>
    </w:p>
    <w:p w:rsidR="00424484" w:rsidRPr="00712072" w:rsidRDefault="00424484" w:rsidP="007D1028">
      <w:pPr>
        <w:pStyle w:val="Titre2"/>
        <w:jc w:val="both"/>
      </w:pPr>
      <w:bookmarkStart w:id="36" w:name="_Toc368697815"/>
      <w:r>
        <w:t>Autres risques</w:t>
      </w:r>
      <w:bookmarkEnd w:id="36"/>
    </w:p>
    <w:p w:rsidR="0030381D" w:rsidRPr="00712072" w:rsidRDefault="0030381D" w:rsidP="007D1028">
      <w:pPr>
        <w:pStyle w:val="Titre3"/>
        <w:jc w:val="both"/>
      </w:pPr>
      <w:bookmarkStart w:id="37" w:name="_Toc368697816"/>
      <w:r w:rsidRPr="00712072">
        <w:t>Risque pays (lignes métiers AER, MER)</w:t>
      </w:r>
      <w:bookmarkEnd w:id="37"/>
    </w:p>
    <w:p w:rsidR="0030381D" w:rsidRPr="00712072" w:rsidRDefault="0030381D" w:rsidP="007D1028">
      <w:pPr>
        <w:pStyle w:val="Paragraphedeliste"/>
        <w:numPr>
          <w:ilvl w:val="0"/>
          <w:numId w:val="1"/>
        </w:numPr>
        <w:jc w:val="both"/>
      </w:pPr>
      <w:r w:rsidRPr="00712072">
        <w:t xml:space="preserve">Apparaît quand le </w:t>
      </w:r>
      <w:proofErr w:type="spellStart"/>
      <w:r w:rsidRPr="00712072">
        <w:t>Lessee</w:t>
      </w:r>
      <w:proofErr w:type="spellEnd"/>
      <w:r w:rsidRPr="00712072">
        <w:t xml:space="preserve"> est situé dans un pays hors OCDE, en général.</w:t>
      </w:r>
    </w:p>
    <w:p w:rsidR="0030381D" w:rsidRPr="00712072" w:rsidRDefault="0030381D" w:rsidP="007D1028">
      <w:pPr>
        <w:pStyle w:val="Paragraphedeliste"/>
        <w:numPr>
          <w:ilvl w:val="0"/>
          <w:numId w:val="1"/>
        </w:numPr>
        <w:jc w:val="both"/>
      </w:pPr>
      <w:r w:rsidRPr="00424484">
        <w:t xml:space="preserve">Palliatif : </w:t>
      </w:r>
      <w:r w:rsidRPr="00712072">
        <w:t>assurance sur risque pays (politique et commercial) via les Agences de Crédit Export, voire assurances crédit.</w:t>
      </w:r>
    </w:p>
    <w:p w:rsidR="0054501D" w:rsidRDefault="0054501D" w:rsidP="00712072"/>
    <w:p w:rsidR="009278F6" w:rsidRDefault="009278F6" w:rsidP="00712072"/>
    <w:p w:rsidR="009278F6" w:rsidRDefault="009278F6" w:rsidP="00712072"/>
    <w:p w:rsidR="009278F6" w:rsidRDefault="009278F6" w:rsidP="00712072"/>
    <w:p w:rsidR="009278F6" w:rsidRDefault="009278F6" w:rsidP="00712072"/>
    <w:p w:rsidR="009278F6" w:rsidRDefault="009278F6" w:rsidP="00712072"/>
    <w:p w:rsidR="009278F6" w:rsidRDefault="009278F6" w:rsidP="00712072"/>
    <w:p w:rsidR="009278F6" w:rsidRDefault="009278F6" w:rsidP="00712072"/>
    <w:p w:rsidR="0054501D" w:rsidRDefault="0054501D" w:rsidP="00712072"/>
    <w:p w:rsidR="0054501D" w:rsidRPr="00712072" w:rsidRDefault="0054501D" w:rsidP="00712072"/>
    <w:p w:rsidR="009C11FE" w:rsidRDefault="00424484" w:rsidP="007D1028">
      <w:pPr>
        <w:pStyle w:val="Titre1"/>
        <w:jc w:val="both"/>
      </w:pPr>
      <w:bookmarkStart w:id="38" w:name="_Toc368697817"/>
      <w:r>
        <w:lastRenderedPageBreak/>
        <w:t xml:space="preserve">Le stage au sein de </w:t>
      </w:r>
      <w:r w:rsidR="009C11FE">
        <w:t>OPER/P&amp;P (Pilotage et Projets)</w:t>
      </w:r>
      <w:bookmarkEnd w:id="38"/>
    </w:p>
    <w:p w:rsidR="00A9110E" w:rsidRDefault="00A9110E" w:rsidP="007D1028">
      <w:pPr>
        <w:jc w:val="both"/>
      </w:pPr>
      <w:r>
        <w:t xml:space="preserve">L’équipe Pilotage et Projet, au sein de laquelle j’ai eu a effectué mon stage, a pour vocation </w:t>
      </w:r>
      <w:proofErr w:type="gramStart"/>
      <w:r>
        <w:t>a</w:t>
      </w:r>
      <w:proofErr w:type="gramEnd"/>
      <w:r>
        <w:t xml:space="preserve"> être le point d’entrée unique pour l’ensemble des interlocuteurs externes : GLFI, RISQ, ITEC. Elle prend en charge l’essentiel des analyses et reports transversaux ainsi que la coordination des tâches dites « transversales » nécessitant l’expertise des </w:t>
      </w:r>
      <w:proofErr w:type="spellStart"/>
      <w:r>
        <w:t>Risk</w:t>
      </w:r>
      <w:proofErr w:type="spellEnd"/>
      <w:r>
        <w:t xml:space="preserve"> Managers. Aussi, l’équipe suit et oriente les projets en cours sur le périmètre du Leasing fiscal.</w:t>
      </w:r>
    </w:p>
    <w:p w:rsidR="00A9110E" w:rsidRDefault="00A9110E" w:rsidP="007D1028">
      <w:pPr>
        <w:jc w:val="both"/>
      </w:pPr>
      <w:r>
        <w:t>Enfin, elle uniformise l’ensemble des reports produits afin de clarifier la communication d’OPER vers l’extérieur.</w:t>
      </w:r>
    </w:p>
    <w:p w:rsidR="00A9110E" w:rsidRDefault="00A9110E" w:rsidP="007D1028">
      <w:pPr>
        <w:jc w:val="both"/>
      </w:pPr>
      <w:r>
        <w:t>Les tâches de l’équipe peuvent être listées comme suit :</w:t>
      </w:r>
    </w:p>
    <w:p w:rsidR="00A9110E" w:rsidRDefault="00A9110E" w:rsidP="007D1028">
      <w:pPr>
        <w:pStyle w:val="Paragraphedeliste"/>
        <w:numPr>
          <w:ilvl w:val="0"/>
          <w:numId w:val="1"/>
        </w:numPr>
        <w:jc w:val="both"/>
      </w:pPr>
      <w:r>
        <w:t>Analyse des reports</w:t>
      </w:r>
    </w:p>
    <w:p w:rsidR="00A9110E" w:rsidRDefault="00A9110E" w:rsidP="007D1028">
      <w:pPr>
        <w:pStyle w:val="Paragraphedeliste"/>
        <w:numPr>
          <w:ilvl w:val="0"/>
          <w:numId w:val="1"/>
        </w:numPr>
        <w:jc w:val="both"/>
      </w:pPr>
      <w:r>
        <w:t>Réflexion sur les futures évolutions</w:t>
      </w:r>
    </w:p>
    <w:p w:rsidR="00A9110E" w:rsidRDefault="00A9110E" w:rsidP="007D1028">
      <w:pPr>
        <w:pStyle w:val="Paragraphedeliste"/>
        <w:numPr>
          <w:ilvl w:val="0"/>
          <w:numId w:val="1"/>
        </w:numPr>
        <w:jc w:val="both"/>
      </w:pPr>
      <w:r>
        <w:t>Réflexion sur les optimisations</w:t>
      </w:r>
    </w:p>
    <w:p w:rsidR="00A9110E" w:rsidRDefault="00A9110E" w:rsidP="007D1028">
      <w:pPr>
        <w:pStyle w:val="Paragraphedeliste"/>
        <w:numPr>
          <w:ilvl w:val="0"/>
          <w:numId w:val="1"/>
        </w:numPr>
        <w:jc w:val="both"/>
      </w:pPr>
      <w:r>
        <w:t>Suivi des projets et des sujets catalogues (spécifications/tests)</w:t>
      </w:r>
    </w:p>
    <w:p w:rsidR="00A9110E" w:rsidRDefault="00A9110E" w:rsidP="007D1028">
      <w:pPr>
        <w:pStyle w:val="Paragraphedeliste"/>
        <w:numPr>
          <w:ilvl w:val="0"/>
          <w:numId w:val="1"/>
        </w:numPr>
        <w:jc w:val="both"/>
      </w:pPr>
      <w:r>
        <w:t>Mise en place de plans d’actions suite à incidents IT</w:t>
      </w:r>
    </w:p>
    <w:p w:rsidR="00A9110E" w:rsidRDefault="00A9110E" w:rsidP="007D1028">
      <w:pPr>
        <w:pStyle w:val="Paragraphedeliste"/>
        <w:numPr>
          <w:ilvl w:val="0"/>
          <w:numId w:val="1"/>
        </w:numPr>
        <w:jc w:val="both"/>
      </w:pPr>
      <w:r>
        <w:t>Suivi du RWA</w:t>
      </w:r>
    </w:p>
    <w:p w:rsidR="00A9110E" w:rsidRDefault="00A9110E" w:rsidP="007D1028">
      <w:pPr>
        <w:pStyle w:val="Paragraphedeliste"/>
        <w:numPr>
          <w:ilvl w:val="0"/>
          <w:numId w:val="1"/>
        </w:numPr>
        <w:jc w:val="both"/>
      </w:pPr>
      <w:r>
        <w:t>Suivi des nouvelles exigences réglementaires et des expositions</w:t>
      </w:r>
    </w:p>
    <w:p w:rsidR="00A9110E" w:rsidRDefault="00A9110E" w:rsidP="007D1028">
      <w:pPr>
        <w:pStyle w:val="Paragraphedeliste"/>
        <w:numPr>
          <w:ilvl w:val="0"/>
          <w:numId w:val="1"/>
        </w:numPr>
        <w:jc w:val="both"/>
      </w:pPr>
      <w:r>
        <w:t>Mise à jour des échéanciers de tirages prévisionnels</w:t>
      </w:r>
    </w:p>
    <w:p w:rsidR="00A9110E" w:rsidRDefault="00A9110E" w:rsidP="007D1028">
      <w:pPr>
        <w:pStyle w:val="Paragraphedeliste"/>
        <w:numPr>
          <w:ilvl w:val="0"/>
          <w:numId w:val="1"/>
        </w:numPr>
        <w:jc w:val="both"/>
      </w:pPr>
      <w:r>
        <w:t>Analyse risque pays.</w:t>
      </w:r>
    </w:p>
    <w:p w:rsidR="006F2F6E" w:rsidRDefault="00137544" w:rsidP="007D1028">
      <w:pPr>
        <w:pStyle w:val="Titre1"/>
        <w:jc w:val="both"/>
      </w:pPr>
      <w:bookmarkStart w:id="39" w:name="_Toc368697818"/>
      <w:r>
        <w:t xml:space="preserve">Activité durant </w:t>
      </w:r>
      <w:r w:rsidR="006F2F6E">
        <w:t xml:space="preserve">le stage : </w:t>
      </w:r>
      <w:r>
        <w:t xml:space="preserve">Projet </w:t>
      </w:r>
      <w:r w:rsidR="006F2F6E">
        <w:t>IREC</w:t>
      </w:r>
      <w:bookmarkEnd w:id="39"/>
    </w:p>
    <w:p w:rsidR="00137544" w:rsidRDefault="00137544" w:rsidP="002300AF">
      <w:pPr>
        <w:pStyle w:val="Titre1"/>
      </w:pPr>
      <w:bookmarkStart w:id="40" w:name="_Toc368697819"/>
      <w:r>
        <w:t>Présentation du système</w:t>
      </w:r>
      <w:bookmarkEnd w:id="40"/>
      <w:r>
        <w:t> </w:t>
      </w:r>
    </w:p>
    <w:p w:rsidR="00C13EDA" w:rsidRDefault="0077323D" w:rsidP="007D1028">
      <w:pPr>
        <w:jc w:val="both"/>
      </w:pPr>
      <w:r>
        <w:t xml:space="preserve">CPM, </w:t>
      </w:r>
      <w:r w:rsidR="00D6614E">
        <w:t xml:space="preserve">ou </w:t>
      </w:r>
      <w:proofErr w:type="spellStart"/>
      <w:r>
        <w:t>Credit</w:t>
      </w:r>
      <w:proofErr w:type="spellEnd"/>
      <w:r>
        <w:t xml:space="preserve"> Portfolio Management, est le système de gestion de portefeuille du département GLFI, autrement dit, des financements de la SGCIB (voir organigramme de présentation de la structure d’accueil). Il a été développé en interne et mis en place il y’a </w:t>
      </w:r>
      <w:r w:rsidR="00D6614E">
        <w:t xml:space="preserve">à peu près </w:t>
      </w:r>
      <w:r>
        <w:t>trois ans.</w:t>
      </w:r>
      <w:r w:rsidR="00D6614E">
        <w:t xml:space="preserve"> Il connait continuellement des mises à jour et est en développement permanant afin de répondre au mieux aux besoin </w:t>
      </w:r>
      <w:proofErr w:type="gramStart"/>
      <w:r w:rsidR="00D6614E">
        <w:t>de la</w:t>
      </w:r>
      <w:proofErr w:type="gramEnd"/>
      <w:r w:rsidR="00D6614E">
        <w:t xml:space="preserve"> business line.</w:t>
      </w:r>
      <w:r>
        <w:t xml:space="preserve"> </w:t>
      </w:r>
    </w:p>
    <w:p w:rsidR="0077323D" w:rsidRDefault="0077323D" w:rsidP="007D1028">
      <w:pPr>
        <w:jc w:val="both"/>
      </w:pPr>
      <w:r>
        <w:t>CPM est un système complexe et complet qui a pour rôle de récolter l’ensemble de l’information parvenue des outils de gestion « satellite ». Les outils en question ont chacun leur spécificité et leur</w:t>
      </w:r>
      <w:r w:rsidR="00591FE6">
        <w:t>s</w:t>
      </w:r>
      <w:r>
        <w:t xml:space="preserve"> financements dédié</w:t>
      </w:r>
      <w:r w:rsidR="00591FE6">
        <w:t>s</w:t>
      </w:r>
      <w:r>
        <w:t xml:space="preserve">. Par exemple, les crédits en financements structurés ou vanille seront </w:t>
      </w:r>
      <w:r w:rsidRPr="0077323D">
        <w:rPr>
          <w:i/>
        </w:rPr>
        <w:t>Boké</w:t>
      </w:r>
      <w:r>
        <w:t xml:space="preserve"> sur LOANIQ, ceux en crédit-bail sur </w:t>
      </w:r>
      <w:proofErr w:type="spellStart"/>
      <w:r>
        <w:t>Cassiopae</w:t>
      </w:r>
      <w:proofErr w:type="spellEnd"/>
      <w:r>
        <w:t xml:space="preserve">... CPM représente donc une interface unifiée à l’ensemble de ses outils, mais est également doté de calculateurs qui permettent de calculer </w:t>
      </w:r>
      <w:r w:rsidR="00D6614E">
        <w:t>le</w:t>
      </w:r>
      <w:r>
        <w:t xml:space="preserve"> NBI </w:t>
      </w:r>
      <w:r w:rsidR="00D6614E">
        <w:t xml:space="preserve">la position en RWA </w:t>
      </w:r>
      <w:r w:rsidR="00591FE6">
        <w:t xml:space="preserve">et les paramètres bâlois </w:t>
      </w:r>
      <w:r w:rsidR="00D6614E">
        <w:t xml:space="preserve">ou </w:t>
      </w:r>
      <w:r>
        <w:t xml:space="preserve">par exemple. </w:t>
      </w:r>
      <w:r w:rsidR="00591FE6">
        <w:br/>
      </w:r>
      <w:r>
        <w:t xml:space="preserve">Enfin, le système possède des modules qui permettent une projection des positions </w:t>
      </w:r>
      <w:r w:rsidR="00591FE6">
        <w:t xml:space="preserve">sur </w:t>
      </w:r>
      <w:proofErr w:type="gramStart"/>
      <w:r w:rsidR="00591FE6">
        <w:t>la</w:t>
      </w:r>
      <w:proofErr w:type="gramEnd"/>
      <w:r w:rsidR="00591FE6">
        <w:t xml:space="preserve"> </w:t>
      </w:r>
      <w:r>
        <w:t>business line.</w:t>
      </w:r>
    </w:p>
    <w:p w:rsidR="001B34F8" w:rsidRDefault="001B34F8" w:rsidP="007D1028">
      <w:pPr>
        <w:jc w:val="both"/>
        <w:rPr>
          <w:noProof/>
          <w:lang w:eastAsia="fr-FR"/>
        </w:rPr>
      </w:pPr>
    </w:p>
    <w:p w:rsidR="001B34F8" w:rsidRDefault="001B34F8" w:rsidP="007D1028">
      <w:pPr>
        <w:jc w:val="both"/>
        <w:rPr>
          <w:noProof/>
          <w:lang w:eastAsia="fr-FR"/>
        </w:rPr>
      </w:pPr>
    </w:p>
    <w:p w:rsidR="001B34F8" w:rsidRDefault="001B34F8" w:rsidP="007D1028">
      <w:pPr>
        <w:jc w:val="both"/>
        <w:rPr>
          <w:noProof/>
          <w:lang w:eastAsia="fr-FR"/>
        </w:rPr>
      </w:pPr>
    </w:p>
    <w:p w:rsidR="001B34F8" w:rsidRPr="001B34F8" w:rsidRDefault="001B34F8" w:rsidP="001B34F8">
      <w:pPr>
        <w:jc w:val="center"/>
        <w:rPr>
          <w:i/>
          <w:noProof/>
          <w:lang w:eastAsia="fr-FR"/>
        </w:rPr>
      </w:pPr>
      <w:r w:rsidRPr="001B34F8">
        <w:rPr>
          <w:i/>
          <w:noProof/>
          <w:lang w:eastAsia="fr-FR"/>
        </w:rPr>
        <w:lastRenderedPageBreak/>
        <w:t>Schéma générique sur le process de booking dans les outils.</w:t>
      </w:r>
    </w:p>
    <w:p w:rsidR="009278F6" w:rsidRDefault="009278F6" w:rsidP="007D1028">
      <w:pPr>
        <w:jc w:val="both"/>
      </w:pPr>
      <w:r>
        <w:rPr>
          <w:noProof/>
          <w:lang w:eastAsia="fr-FR"/>
        </w:rPr>
        <w:drawing>
          <wp:inline distT="0" distB="0" distL="0" distR="0">
            <wp:extent cx="5760720" cy="47453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 outils.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4745355"/>
                    </a:xfrm>
                    <a:prstGeom prst="rect">
                      <a:avLst/>
                    </a:prstGeom>
                  </pic:spPr>
                </pic:pic>
              </a:graphicData>
            </a:graphic>
          </wp:inline>
        </w:drawing>
      </w:r>
    </w:p>
    <w:p w:rsidR="00137544" w:rsidRPr="006F2F6E" w:rsidRDefault="00137544" w:rsidP="002300AF">
      <w:pPr>
        <w:pStyle w:val="Titre1"/>
      </w:pPr>
      <w:bookmarkStart w:id="41" w:name="_Toc368697820"/>
      <w:r>
        <w:t>Description du projet</w:t>
      </w:r>
      <w:bookmarkEnd w:id="41"/>
    </w:p>
    <w:p w:rsidR="00137544" w:rsidRDefault="00137544" w:rsidP="007D1028">
      <w:pPr>
        <w:jc w:val="both"/>
      </w:pPr>
      <w:r>
        <w:t>IREC est un acronyme désignant l’extraction automatisée de reports du périmètre leasing à partir du système principal de gestion de portefeuille (</w:t>
      </w:r>
      <w:r w:rsidRPr="00D6614E">
        <w:rPr>
          <w:b/>
        </w:rPr>
        <w:t>I</w:t>
      </w:r>
      <w:r>
        <w:t xml:space="preserve">AB </w:t>
      </w:r>
      <w:r w:rsidRPr="00D6614E">
        <w:rPr>
          <w:b/>
        </w:rPr>
        <w:t>R</w:t>
      </w:r>
      <w:r>
        <w:t xml:space="preserve">eport </w:t>
      </w:r>
      <w:r w:rsidRPr="00D6614E">
        <w:rPr>
          <w:b/>
        </w:rPr>
        <w:t>E</w:t>
      </w:r>
      <w:r>
        <w:t xml:space="preserve">xtraction </w:t>
      </w:r>
      <w:proofErr w:type="spellStart"/>
      <w:r>
        <w:t>from</w:t>
      </w:r>
      <w:proofErr w:type="spellEnd"/>
      <w:r>
        <w:t xml:space="preserve"> </w:t>
      </w:r>
      <w:r w:rsidRPr="00D6614E">
        <w:rPr>
          <w:b/>
        </w:rPr>
        <w:t>C</w:t>
      </w:r>
      <w:r>
        <w:t xml:space="preserve">PM). </w:t>
      </w:r>
    </w:p>
    <w:p w:rsidR="00B90DE3" w:rsidRDefault="00B90DE3" w:rsidP="002300AF">
      <w:pPr>
        <w:pStyle w:val="Titre1"/>
      </w:pPr>
      <w:bookmarkStart w:id="42" w:name="_Toc368697821"/>
      <w:r>
        <w:t>Contexte</w:t>
      </w:r>
      <w:bookmarkEnd w:id="42"/>
    </w:p>
    <w:p w:rsidR="005F35E6" w:rsidRDefault="00B90DE3" w:rsidP="007D1028">
      <w:pPr>
        <w:jc w:val="both"/>
      </w:pPr>
      <w:r>
        <w:t>Régulièrement, l’équipe P&amp;P est en charge de la</w:t>
      </w:r>
      <w:r w:rsidR="005F35E6">
        <w:t xml:space="preserve"> production de reports existants sur CPM</w:t>
      </w:r>
      <w:r w:rsidR="0016659A">
        <w:t xml:space="preserve"> pour certains, et d’autre à travers d’autres sources</w:t>
      </w:r>
      <w:r w:rsidR="005F35E6">
        <w:t xml:space="preserve"> manuellement en les retravaillant afin de correspondre au mieux aux besoins d’OPER.</w:t>
      </w:r>
    </w:p>
    <w:p w:rsidR="0016659A" w:rsidRDefault="0016659A" w:rsidP="007D1028">
      <w:pPr>
        <w:jc w:val="both"/>
      </w:pPr>
      <w:r>
        <w:t>Ces tâches récurrentes engendrent un risque opérationnel important lié au traitement manuel, ainsi qu’une charge importante chaque mois liée à la fiabilisation des données, l’analyse et l’interprétation. Enfin, de nombreux échanges entre les différents services OPER/IAB sont nécessaires pour obtenir un résultat fiable.</w:t>
      </w:r>
    </w:p>
    <w:p w:rsidR="00B90DE3" w:rsidRDefault="0016659A" w:rsidP="007D1028">
      <w:pPr>
        <w:jc w:val="both"/>
      </w:pPr>
      <w:r>
        <w:t>L’objectif est donc de refondre la production de ces reports en utilisant CPM et de garder un minimum d’intervention manuelle.</w:t>
      </w:r>
    </w:p>
    <w:p w:rsidR="0084374C" w:rsidRDefault="0016659A" w:rsidP="007D1028">
      <w:pPr>
        <w:jc w:val="both"/>
      </w:pPr>
      <w:r>
        <w:lastRenderedPageBreak/>
        <w:t xml:space="preserve">Pour atteindre cet objectif, P&amp;P a prévu de développer les reports via Business </w:t>
      </w:r>
      <w:proofErr w:type="spellStart"/>
      <w:r>
        <w:t>Obejcts</w:t>
      </w:r>
      <w:proofErr w:type="spellEnd"/>
      <w:r>
        <w:t xml:space="preserve"> et de corriger les données dans les applications back-office si besoin. Enfin, ajouter les données manquantes aux reports OPER/IAB dans CPM directement si besoin est.</w:t>
      </w:r>
    </w:p>
    <w:p w:rsidR="0016659A" w:rsidRDefault="0016659A" w:rsidP="002300AF">
      <w:pPr>
        <w:pStyle w:val="Titre1"/>
      </w:pPr>
      <w:bookmarkStart w:id="43" w:name="_Toc368697822"/>
      <w:r>
        <w:t>Reports concernés</w:t>
      </w:r>
      <w:bookmarkEnd w:id="43"/>
    </w:p>
    <w:p w:rsidR="0016659A" w:rsidRDefault="0016659A" w:rsidP="002300AF">
      <w:pPr>
        <w:pStyle w:val="Titre2"/>
      </w:pPr>
      <w:bookmarkStart w:id="44" w:name="_Toc368697823"/>
      <w:r>
        <w:t xml:space="preserve">Revue trimestrielle des </w:t>
      </w:r>
      <w:proofErr w:type="spellStart"/>
      <w:r w:rsidR="00766473">
        <w:t>C</w:t>
      </w:r>
      <w:r>
        <w:t>ommitments</w:t>
      </w:r>
      <w:bookmarkEnd w:id="44"/>
      <w:proofErr w:type="spellEnd"/>
    </w:p>
    <w:p w:rsidR="0016659A" w:rsidRDefault="0016659A" w:rsidP="00246C03">
      <w:pPr>
        <w:jc w:val="both"/>
      </w:pPr>
      <w:r>
        <w:t xml:space="preserve">Les </w:t>
      </w:r>
      <w:proofErr w:type="spellStart"/>
      <w:r>
        <w:t>commitments</w:t>
      </w:r>
      <w:proofErr w:type="spellEnd"/>
      <w:r>
        <w:t xml:space="preserve"> représentent les encours de l’ensemble du portefeuille des business line IAB</w:t>
      </w:r>
      <w:r w:rsidR="009D3983">
        <w:t xml:space="preserve"> en financement structuré</w:t>
      </w:r>
      <w:r>
        <w:t>, à savoir les partenariat publics privé (PPP), le financement d’avion (AER), le financement de bateaux (MER), le financement de trains (RAIL) et le financement d’infrastructure et financements complexes (ABF). Il est noté que certaines catégories de financements peuvent faire intervenir plusieurs business line en même temps (ABF+MER)</w:t>
      </w:r>
      <w:r w:rsidR="009D3983">
        <w:t>, ou même d’autres départements que celui des financements structurés</w:t>
      </w:r>
      <w:r>
        <w:t>.</w:t>
      </w:r>
    </w:p>
    <w:p w:rsidR="00246C03" w:rsidRDefault="009D3983" w:rsidP="00246C03">
      <w:pPr>
        <w:jc w:val="both"/>
      </w:pPr>
      <w:r>
        <w:t xml:space="preserve">Le report des </w:t>
      </w:r>
      <w:proofErr w:type="spellStart"/>
      <w:r>
        <w:t>commitments</w:t>
      </w:r>
      <w:proofErr w:type="spellEnd"/>
      <w:r>
        <w:t xml:space="preserve"> reprend les positions sur le montant global de l’encours, le tirage, l’encours non tirés, le montant de l’exposition à remonter en risque,  le pourcentage d’encours partagé avec d’autres filiales ou business line de la Société Générale ou, dans le cas d’une syndication, l’encours partagé avec d’autres banques.</w:t>
      </w:r>
    </w:p>
    <w:p w:rsidR="0084374C" w:rsidRDefault="0084374C" w:rsidP="002300AF">
      <w:pPr>
        <w:pStyle w:val="Titre3"/>
      </w:pPr>
      <w:bookmarkStart w:id="45" w:name="_Toc368697824"/>
      <w:r w:rsidRPr="007B1D19">
        <w:t>Timing</w:t>
      </w:r>
      <w:bookmarkEnd w:id="45"/>
      <w:r w:rsidRPr="007B1D19">
        <w:t> </w:t>
      </w:r>
    </w:p>
    <w:p w:rsidR="0084374C" w:rsidRDefault="0084374C" w:rsidP="00246C03">
      <w:pPr>
        <w:jc w:val="both"/>
      </w:pPr>
      <w:r>
        <w:t>L</w:t>
      </w:r>
      <w:r w:rsidR="00891172">
        <w:t>e</w:t>
      </w:r>
      <w:r>
        <w:t xml:space="preserve"> report des </w:t>
      </w:r>
      <w:proofErr w:type="spellStart"/>
      <w:r>
        <w:t>commitments</w:t>
      </w:r>
      <w:proofErr w:type="spellEnd"/>
      <w:r>
        <w:t xml:space="preserve"> se fait chaque trimestre. Jusqu’à lors, ce fichier était produit en deux étapes. La première, consistait à faire une extraction brute </w:t>
      </w:r>
      <w:r w:rsidR="00891172">
        <w:t xml:space="preserve">générale </w:t>
      </w:r>
      <w:r>
        <w:t>du Pharos (voir la carte en annexe)</w:t>
      </w:r>
      <w:r w:rsidR="00891172">
        <w:t xml:space="preserve"> de tout le périmètre des financements de la SGCIB. La seconde, consistait à traiter cette extraction brute, par Excel, en faisant en sorte de respecter correctement le périmètre OPER/IAB, puis d’y apporter des ajustements manuels sur certains deals mal restitués dans ce système.</w:t>
      </w:r>
    </w:p>
    <w:p w:rsidR="00891172" w:rsidRDefault="00891172" w:rsidP="00246C03">
      <w:pPr>
        <w:jc w:val="both"/>
      </w:pPr>
      <w:r>
        <w:t>Le report était produit à m+1, c’est-à-dire à la fin du mois après l’arrêté trimestriel.</w:t>
      </w:r>
      <w:r w:rsidR="002300AF">
        <w:t xml:space="preserve"> Pour les </w:t>
      </w:r>
      <w:proofErr w:type="spellStart"/>
      <w:r w:rsidR="002300AF">
        <w:t>commitments</w:t>
      </w:r>
      <w:proofErr w:type="spellEnd"/>
      <w:r w:rsidR="002300AF">
        <w:t xml:space="preserve"> du Q2, les reports était prêt à fin Juillet de la même année.</w:t>
      </w:r>
    </w:p>
    <w:p w:rsidR="002300AF" w:rsidRDefault="002300AF" w:rsidP="00246C03">
      <w:pPr>
        <w:jc w:val="both"/>
      </w:pPr>
      <w:r>
        <w:t xml:space="preserve">Le but, après développement de la requête Business </w:t>
      </w:r>
      <w:proofErr w:type="spellStart"/>
      <w:r>
        <w:t>Objects</w:t>
      </w:r>
      <w:proofErr w:type="spellEnd"/>
      <w:r>
        <w:t xml:space="preserve">, était de pouvoir </w:t>
      </w:r>
      <w:r w:rsidR="004E794C">
        <w:t xml:space="preserve">lancer la </w:t>
      </w:r>
      <w:r>
        <w:t>produ</w:t>
      </w:r>
      <w:r w:rsidR="004E794C">
        <w:t>ction du report à tout moment,</w:t>
      </w:r>
      <w:r>
        <w:t xml:space="preserve"> automatiquement,</w:t>
      </w:r>
      <w:r w:rsidR="004E794C">
        <w:t xml:space="preserve">  peu importe le type d’arrêtés du système (journalier, hebdomadaire, mensuel, trimestriel), en prenant en compte l’ensemble des ajustements manuel</w:t>
      </w:r>
      <w:r w:rsidR="0044540C">
        <w:t>s</w:t>
      </w:r>
      <w:r w:rsidR="004E794C">
        <w:t xml:space="preserve"> saisis dans l’outil </w:t>
      </w:r>
      <w:r w:rsidR="0044540C">
        <w:t>concerné (</w:t>
      </w:r>
      <w:proofErr w:type="spellStart"/>
      <w:r w:rsidR="0044540C">
        <w:t>Frale</w:t>
      </w:r>
      <w:proofErr w:type="spellEnd"/>
      <w:r w:rsidR="0044540C">
        <w:t xml:space="preserve">, </w:t>
      </w:r>
      <w:r w:rsidR="004E794C">
        <w:t>voir carte en annexe)</w:t>
      </w:r>
      <w:r w:rsidR="0044540C">
        <w:t>. Enfin</w:t>
      </w:r>
      <w:r w:rsidR="004E794C">
        <w:t>, il était primordiale de pouvoir restituer le bon périmètre aussi complexe était la nature des deals inclus : partage avec d’autres départements, les agences du réseau, les autres banques de la places</w:t>
      </w:r>
      <w:r w:rsidR="0044540C">
        <w:t>…</w:t>
      </w:r>
      <w:r w:rsidR="004E794C">
        <w:t xml:space="preserve"> en veillant </w:t>
      </w:r>
      <w:r w:rsidR="0044540C">
        <w:t xml:space="preserve">à chaque fois </w:t>
      </w:r>
      <w:r w:rsidR="004E794C">
        <w:t xml:space="preserve">à ne restituer que la part de OPER/IAB afin d’avoir une restitution correcte des expositions.  </w:t>
      </w:r>
    </w:p>
    <w:p w:rsidR="00457C57" w:rsidRDefault="00457C57" w:rsidP="00246C03">
      <w:pPr>
        <w:jc w:val="both"/>
      </w:pPr>
      <w:r w:rsidRPr="00D12916">
        <w:rPr>
          <w:b/>
          <w:u w:val="single"/>
        </w:rPr>
        <w:t>Remarque</w:t>
      </w:r>
      <w:r>
        <w:t xml:space="preserve"> : l’ancien report sur les </w:t>
      </w:r>
      <w:proofErr w:type="spellStart"/>
      <w:r>
        <w:t>commitments</w:t>
      </w:r>
      <w:proofErr w:type="spellEnd"/>
      <w:r>
        <w:t xml:space="preserve"> ne prenait pas en compte </w:t>
      </w:r>
      <w:proofErr w:type="gramStart"/>
      <w:r>
        <w:t>la</w:t>
      </w:r>
      <w:proofErr w:type="gramEnd"/>
      <w:r>
        <w:t xml:space="preserve"> business line </w:t>
      </w:r>
      <w:proofErr w:type="spellStart"/>
      <w:r w:rsidR="00AB3177">
        <w:t>A</w:t>
      </w:r>
      <w:r>
        <w:t>ircraft</w:t>
      </w:r>
      <w:proofErr w:type="spellEnd"/>
      <w:r>
        <w:t xml:space="preserve">. Cette dernière faisait l’objet d’un report séparé en raison de la nature des deals. </w:t>
      </w:r>
      <w:r w:rsidR="008734BD">
        <w:br/>
      </w:r>
      <w:r>
        <w:t xml:space="preserve">Le projet IREC </w:t>
      </w:r>
      <w:r w:rsidR="008734BD">
        <w:t xml:space="preserve">présente l’avantage de prendre en </w:t>
      </w:r>
      <w:r>
        <w:t>compte l’ensemble du périmètre OPER/IAB</w:t>
      </w:r>
      <w:r w:rsidR="00C765F3">
        <w:t>, y compris l’</w:t>
      </w:r>
      <w:proofErr w:type="spellStart"/>
      <w:r w:rsidR="00C765F3">
        <w:t>Aircraft</w:t>
      </w:r>
      <w:proofErr w:type="spellEnd"/>
      <w:r w:rsidR="00C765F3">
        <w:t>,</w:t>
      </w:r>
      <w:r>
        <w:t xml:space="preserve"> dans la production du report des </w:t>
      </w:r>
      <w:proofErr w:type="spellStart"/>
      <w:r>
        <w:t>commitments</w:t>
      </w:r>
      <w:proofErr w:type="spellEnd"/>
      <w:r>
        <w:t xml:space="preserve">. </w:t>
      </w:r>
    </w:p>
    <w:p w:rsidR="002300AF" w:rsidRDefault="002300AF" w:rsidP="002300AF">
      <w:pPr>
        <w:pStyle w:val="Titre3"/>
      </w:pPr>
      <w:bookmarkStart w:id="46" w:name="_Toc368697825"/>
      <w:r>
        <w:t>Difficultés retrouvé</w:t>
      </w:r>
      <w:bookmarkEnd w:id="46"/>
      <w:r>
        <w:t> </w:t>
      </w:r>
    </w:p>
    <w:p w:rsidR="00004258" w:rsidRPr="00004258" w:rsidRDefault="00004258" w:rsidP="002300AF">
      <w:pPr>
        <w:rPr>
          <w:b/>
        </w:rPr>
      </w:pPr>
      <w:r w:rsidRPr="00004258">
        <w:rPr>
          <w:b/>
        </w:rPr>
        <w:t>Difficultés liées à la qualité des données</w:t>
      </w:r>
    </w:p>
    <w:p w:rsidR="0044540C" w:rsidRDefault="0044540C" w:rsidP="002300AF">
      <w:r>
        <w:t>Dès le début de développement de la requête, il nous a paru évident que même en combinant les différents filtre</w:t>
      </w:r>
      <w:r w:rsidR="006811F9">
        <w:t>s</w:t>
      </w:r>
      <w:r>
        <w:t xml:space="preserve"> inclus dans les univers Business </w:t>
      </w:r>
      <w:proofErr w:type="spellStart"/>
      <w:r>
        <w:t>Objects</w:t>
      </w:r>
      <w:proofErr w:type="spellEnd"/>
      <w:r>
        <w:t xml:space="preserve">, il nous serait impossible de bien cadrer le </w:t>
      </w:r>
      <w:r>
        <w:lastRenderedPageBreak/>
        <w:t>périmètre</w:t>
      </w:r>
      <w:r w:rsidR="006811F9">
        <w:t xml:space="preserve"> dans notre restitution de données</w:t>
      </w:r>
      <w:r>
        <w:t>. La nature des deals ne le permettait pas. Après quelques semaines de tests et de requêtes infructueuses, nous avons décidé d’inclure un nouveau type de filtre dans l’univers BO.</w:t>
      </w:r>
    </w:p>
    <w:p w:rsidR="00004258" w:rsidRDefault="0044540C" w:rsidP="002300AF">
      <w:r>
        <w:t>Ce filtre, est un</w:t>
      </w:r>
      <w:r w:rsidR="00004258">
        <w:t>e donnée de type</w:t>
      </w:r>
      <w:r>
        <w:t xml:space="preserve"> </w:t>
      </w:r>
      <w:r w:rsidR="00004258">
        <w:t>O</w:t>
      </w:r>
      <w:r>
        <w:t>bjet</w:t>
      </w:r>
      <w:r>
        <w:rPr>
          <w:rStyle w:val="Appelnotedebasdep"/>
        </w:rPr>
        <w:footnoteReference w:id="1"/>
      </w:r>
      <w:r w:rsidR="00004258">
        <w:t xml:space="preserve"> qui porte le nom de « </w:t>
      </w:r>
      <w:proofErr w:type="spellStart"/>
      <w:r w:rsidR="00004258">
        <w:t>Risk</w:t>
      </w:r>
      <w:proofErr w:type="spellEnd"/>
      <w:r w:rsidR="00004258">
        <w:t xml:space="preserve"> </w:t>
      </w:r>
      <w:proofErr w:type="spellStart"/>
      <w:r w:rsidR="00004258">
        <w:t>Departement</w:t>
      </w:r>
      <w:proofErr w:type="spellEnd"/>
      <w:r w:rsidR="00004258">
        <w:t> </w:t>
      </w:r>
      <w:r w:rsidR="00004258">
        <w:rPr>
          <w:rStyle w:val="Appelnotedebasdep"/>
        </w:rPr>
        <w:footnoteReference w:id="2"/>
      </w:r>
      <w:r w:rsidR="00004258">
        <w:t xml:space="preserve">». Ainsi, lors de la saisie </w:t>
      </w:r>
      <w:r w:rsidR="006811F9">
        <w:t xml:space="preserve">future </w:t>
      </w:r>
      <w:r w:rsidR="00004258">
        <w:t xml:space="preserve">de nouveaux deals dans les systèmes, les personnes en charge </w:t>
      </w:r>
      <w:r w:rsidR="006811F9">
        <w:t xml:space="preserve">devront </w:t>
      </w:r>
      <w:r w:rsidR="00004258">
        <w:t>s’assurer de la qualité de cette donnée pour que le filtre fonctionne correctement.</w:t>
      </w:r>
    </w:p>
    <w:p w:rsidR="00004258" w:rsidRDefault="00004258" w:rsidP="002300AF">
      <w:r>
        <w:t>Pour tous les deals déjà existants, un chargement a été fait au niveau de CPM définissant le département auquel appartenait le suivi de risque des deals OPER/IAB.</w:t>
      </w:r>
    </w:p>
    <w:p w:rsidR="002300AF" w:rsidRDefault="00004258" w:rsidP="002300AF">
      <w:pPr>
        <w:rPr>
          <w:b/>
        </w:rPr>
      </w:pPr>
      <w:r w:rsidRPr="00004258">
        <w:rPr>
          <w:b/>
        </w:rPr>
        <w:t>Difficultés liées</w:t>
      </w:r>
      <w:r>
        <w:rPr>
          <w:b/>
        </w:rPr>
        <w:t xml:space="preserve"> à des problèmes de paramétrage</w:t>
      </w:r>
    </w:p>
    <w:p w:rsidR="00004258" w:rsidRDefault="00004258" w:rsidP="002300AF">
      <w:r>
        <w:t xml:space="preserve">Sur certains deals et pour des raisons de calculs de RWA et d’allégement des expositions, </w:t>
      </w:r>
      <w:r w:rsidR="00DA78BE">
        <w:t xml:space="preserve">des </w:t>
      </w:r>
      <w:r>
        <w:t xml:space="preserve">parties d’encours étaient revendus </w:t>
      </w:r>
      <w:r w:rsidR="00DA78BE">
        <w:t xml:space="preserve">à d’autres entités </w:t>
      </w:r>
      <w:r>
        <w:t>SG.</w:t>
      </w:r>
      <w:r w:rsidR="00905341">
        <w:t xml:space="preserve"> CPM, pour des raisons techniques, calculait de manière erronée le Net </w:t>
      </w:r>
      <w:proofErr w:type="spellStart"/>
      <w:r w:rsidR="00905341">
        <w:t>Risk</w:t>
      </w:r>
      <w:proofErr w:type="spellEnd"/>
      <w:r w:rsidR="00905341">
        <w:rPr>
          <w:rStyle w:val="Appelnotedebasdep"/>
        </w:rPr>
        <w:footnoteReference w:id="3"/>
      </w:r>
      <w:r w:rsidR="00905341">
        <w:t xml:space="preserve"> après prise en charge de cette vente d’encours. Ce qui devait se traduire par une réduction d’exposition se matérialisait au contraire par son accroissement.</w:t>
      </w:r>
    </w:p>
    <w:p w:rsidR="00905341" w:rsidRDefault="00905341" w:rsidP="002300AF">
      <w:r>
        <w:t xml:space="preserve">Après prise de contact avec les équipes de développement de CPM, </w:t>
      </w:r>
      <w:proofErr w:type="gramStart"/>
      <w:r>
        <w:t>une</w:t>
      </w:r>
      <w:proofErr w:type="gramEnd"/>
      <w:r>
        <w:t xml:space="preserve"> release du système a été effectuée et le problème corrigé avant la fin du stage pratique.</w:t>
      </w:r>
    </w:p>
    <w:p w:rsidR="006811F9" w:rsidRDefault="006811F9" w:rsidP="002300AF">
      <w:pPr>
        <w:rPr>
          <w:b/>
        </w:rPr>
      </w:pPr>
      <w:r w:rsidRPr="00004258">
        <w:rPr>
          <w:b/>
        </w:rPr>
        <w:t>Difficultés liées</w:t>
      </w:r>
      <w:r>
        <w:rPr>
          <w:b/>
        </w:rPr>
        <w:t xml:space="preserve"> à des problèmes d’outils </w:t>
      </w:r>
    </w:p>
    <w:p w:rsidR="006811F9" w:rsidRPr="006811F9" w:rsidRDefault="006811F9" w:rsidP="002300AF">
      <w:r>
        <w:t xml:space="preserve">Pour des raisons techniques, les deals </w:t>
      </w:r>
      <w:proofErr w:type="spellStart"/>
      <w:r>
        <w:t>booké</w:t>
      </w:r>
      <w:proofErr w:type="spellEnd"/>
      <w:r>
        <w:t xml:space="preserve"> sur les outils de gestion de SG Londres sont mal pris en compte par CPM. Un autre projet qui traite de cette problématique est en cours à SG-CIB. </w:t>
      </w:r>
    </w:p>
    <w:p w:rsidR="009D3983" w:rsidRPr="0016659A" w:rsidRDefault="00E778FF" w:rsidP="00766473">
      <w:pPr>
        <w:pStyle w:val="Titre2"/>
      </w:pPr>
      <w:bookmarkStart w:id="47" w:name="_Toc368697826"/>
      <w:r>
        <w:t>Notation de</w:t>
      </w:r>
      <w:r w:rsidR="00246C03">
        <w:t xml:space="preserve"> contreparties : </w:t>
      </w:r>
      <w:proofErr w:type="spellStart"/>
      <w:r w:rsidR="00246C03">
        <w:t>Obligor</w:t>
      </w:r>
      <w:proofErr w:type="spellEnd"/>
      <w:r w:rsidR="00246C03">
        <w:t xml:space="preserve"> Rating</w:t>
      </w:r>
      <w:bookmarkEnd w:id="47"/>
      <w:r w:rsidR="009D3983">
        <w:t xml:space="preserve"> </w:t>
      </w:r>
    </w:p>
    <w:p w:rsidR="00246C03" w:rsidRPr="00246C03" w:rsidRDefault="00246C03" w:rsidP="00246C03">
      <w:pPr>
        <w:jc w:val="both"/>
      </w:pPr>
      <w:r w:rsidRPr="00246C03">
        <w:t>Toute contrepartie en relation avec la banque doit être notée. Cette note est à la base de la détermination de plusieurs facteurs liés, entre autre, aux calculs des fonds propres réglementaires et au niveau des montants de facilités autorisés.</w:t>
      </w:r>
    </w:p>
    <w:p w:rsidR="00246C03" w:rsidRPr="00246C03" w:rsidRDefault="00246C03" w:rsidP="00246C03">
      <w:pPr>
        <w:jc w:val="both"/>
      </w:pPr>
      <w:r w:rsidRPr="00246C03">
        <w:t>La note - ou le rating- doit être renouvelée pour chaque contrepartie au minimum une fois par année. En cas d’événement(s) exceptionnel(s) survenu sur la contrepartie (l’</w:t>
      </w:r>
      <w:proofErr w:type="spellStart"/>
      <w:r w:rsidRPr="00246C03">
        <w:t>Obligor</w:t>
      </w:r>
      <w:proofErr w:type="spellEnd"/>
      <w:r w:rsidRPr="00246C03">
        <w:t>) ou sur son environnement (pays, secteur…) le rating peut être revu à tout moment si nécessaire.</w:t>
      </w:r>
    </w:p>
    <w:p w:rsidR="00246C03" w:rsidRPr="00EE062D" w:rsidRDefault="00246C03" w:rsidP="00246C03">
      <w:pPr>
        <w:jc w:val="both"/>
        <w:rPr>
          <w:rFonts w:asciiTheme="minorHAnsi" w:hAnsiTheme="minorHAnsi"/>
        </w:rPr>
      </w:pPr>
      <w:r w:rsidRPr="00246C03">
        <w:rPr>
          <w:rFonts w:asciiTheme="minorHAnsi" w:hAnsiTheme="minorHAnsi"/>
        </w:rPr>
        <w:t>L’</w:t>
      </w:r>
      <w:proofErr w:type="spellStart"/>
      <w:r w:rsidRPr="00246C03">
        <w:rPr>
          <w:rFonts w:asciiTheme="minorHAnsi" w:hAnsiTheme="minorHAnsi"/>
        </w:rPr>
        <w:t>Obligor</w:t>
      </w:r>
      <w:proofErr w:type="spellEnd"/>
      <w:r w:rsidRPr="00246C03">
        <w:rPr>
          <w:rFonts w:asciiTheme="minorHAnsi" w:hAnsiTheme="minorHAnsi"/>
        </w:rPr>
        <w:t xml:space="preserve"> Rating</w:t>
      </w:r>
      <w:r>
        <w:rPr>
          <w:rFonts w:asciiTheme="minorHAnsi" w:hAnsiTheme="minorHAnsi"/>
        </w:rPr>
        <w:t xml:space="preserve"> </w:t>
      </w:r>
      <w:r w:rsidRPr="00EE062D">
        <w:rPr>
          <w:rFonts w:asciiTheme="minorHAnsi" w:hAnsiTheme="minorHAnsi"/>
        </w:rPr>
        <w:t>est destiné à fournir, à une date donnée, la liste des notes de</w:t>
      </w:r>
      <w:r w:rsidR="00E778FF">
        <w:rPr>
          <w:rFonts w:asciiTheme="minorHAnsi" w:hAnsiTheme="minorHAnsi"/>
        </w:rPr>
        <w:t>s</w:t>
      </w:r>
      <w:r w:rsidRPr="00EE062D">
        <w:rPr>
          <w:rFonts w:asciiTheme="minorHAnsi" w:hAnsiTheme="minorHAnsi"/>
        </w:rPr>
        <w:t xml:space="preserve"> contrepartie</w:t>
      </w:r>
      <w:r w:rsidR="00E778FF">
        <w:rPr>
          <w:rFonts w:asciiTheme="minorHAnsi" w:hAnsiTheme="minorHAnsi"/>
        </w:rPr>
        <w:t>s</w:t>
      </w:r>
      <w:r w:rsidRPr="00EE062D">
        <w:rPr>
          <w:rFonts w:asciiTheme="minorHAnsi" w:hAnsiTheme="minorHAnsi"/>
        </w:rPr>
        <w:t xml:space="preserve"> du portefeuille IAB, ainsi qu’une alerte sur le statut de leur Rating: </w:t>
      </w:r>
      <w:proofErr w:type="spellStart"/>
      <w:r w:rsidRPr="00EE062D">
        <w:rPr>
          <w:rFonts w:asciiTheme="minorHAnsi" w:hAnsiTheme="minorHAnsi"/>
        </w:rPr>
        <w:t>Valid</w:t>
      </w:r>
      <w:proofErr w:type="spellEnd"/>
      <w:r w:rsidRPr="00EE062D">
        <w:rPr>
          <w:rFonts w:asciiTheme="minorHAnsi" w:hAnsiTheme="minorHAnsi"/>
        </w:rPr>
        <w:t xml:space="preserve">, expiré, arrivant à expiration à 30,  60, ou 90 jours. </w:t>
      </w:r>
    </w:p>
    <w:p w:rsidR="007B1D19" w:rsidRPr="00EE062D" w:rsidRDefault="007B1D19" w:rsidP="007B1D19">
      <w:pPr>
        <w:jc w:val="both"/>
        <w:rPr>
          <w:rFonts w:asciiTheme="minorHAnsi" w:hAnsiTheme="minorHAnsi"/>
        </w:rPr>
      </w:pPr>
      <w:r>
        <w:rPr>
          <w:rFonts w:asciiTheme="minorHAnsi" w:hAnsiTheme="minorHAnsi"/>
        </w:rPr>
        <w:t xml:space="preserve">Ce report </w:t>
      </w:r>
      <w:r w:rsidRPr="00EE062D">
        <w:rPr>
          <w:rFonts w:asciiTheme="minorHAnsi" w:hAnsiTheme="minorHAnsi"/>
        </w:rPr>
        <w:t xml:space="preserve">permet donc aux </w:t>
      </w:r>
      <w:proofErr w:type="spellStart"/>
      <w:r w:rsidRPr="00EE062D">
        <w:rPr>
          <w:rFonts w:asciiTheme="minorHAnsi" w:hAnsiTheme="minorHAnsi"/>
        </w:rPr>
        <w:t>Risk</w:t>
      </w:r>
      <w:proofErr w:type="spellEnd"/>
      <w:r w:rsidRPr="00EE062D">
        <w:rPr>
          <w:rFonts w:asciiTheme="minorHAnsi" w:hAnsiTheme="minorHAnsi"/>
        </w:rPr>
        <w:t xml:space="preserve"> Managers un suivi du </w:t>
      </w:r>
      <w:r w:rsidRPr="00EE062D">
        <w:rPr>
          <w:rFonts w:asciiTheme="minorHAnsi" w:hAnsiTheme="minorHAnsi"/>
          <w:i/>
        </w:rPr>
        <w:t>statut</w:t>
      </w:r>
      <w:r w:rsidRPr="00EE062D">
        <w:rPr>
          <w:rFonts w:asciiTheme="minorHAnsi" w:hAnsiTheme="minorHAnsi"/>
        </w:rPr>
        <w:t xml:space="preserve"> des notes de chaque contrepartie, et leur indique à quel moment ces notes doivent être renouvelées auprès des personnes en charge des notations. </w:t>
      </w:r>
    </w:p>
    <w:p w:rsidR="007B1D19" w:rsidRPr="006811F9" w:rsidRDefault="007B1D19" w:rsidP="006811F9">
      <w:pPr>
        <w:pStyle w:val="Titre3"/>
      </w:pPr>
      <w:bookmarkStart w:id="48" w:name="_Toc368697827"/>
      <w:bookmarkStart w:id="49" w:name="_Toc368402375"/>
      <w:r w:rsidRPr="006811F9">
        <w:lastRenderedPageBreak/>
        <w:t>Timing</w:t>
      </w:r>
      <w:bookmarkEnd w:id="48"/>
      <w:r w:rsidRPr="006811F9">
        <w:t> </w:t>
      </w:r>
      <w:bookmarkEnd w:id="49"/>
    </w:p>
    <w:p w:rsidR="007B1D19" w:rsidRDefault="007B1D19" w:rsidP="007B1D19">
      <w:pPr>
        <w:rPr>
          <w:rFonts w:asciiTheme="minorHAnsi" w:hAnsiTheme="minorHAnsi"/>
        </w:rPr>
      </w:pPr>
      <w:r w:rsidRPr="00EE062D">
        <w:rPr>
          <w:rFonts w:asciiTheme="minorHAnsi" w:hAnsiTheme="minorHAnsi"/>
        </w:rPr>
        <w:t>Le report doit être produit une fois par mois. Dans certains cas, les mêmes contreparties peuvent apparaitre comme nécessitant un renouvellement de leur note d’une extraction à l’autre. Cela pourrait être dû au fait que leur rating n’est renouvelé que pour une période d’un mois ou trois mois.</w:t>
      </w:r>
    </w:p>
    <w:p w:rsidR="0043472C" w:rsidRDefault="0043472C" w:rsidP="0043472C">
      <w:pPr>
        <w:pStyle w:val="Titre3"/>
      </w:pPr>
      <w:bookmarkStart w:id="50" w:name="_Toc368697828"/>
      <w:r w:rsidRPr="0043472C">
        <w:t>Difficultés rencontrées</w:t>
      </w:r>
      <w:bookmarkEnd w:id="50"/>
      <w:r w:rsidRPr="0043472C">
        <w:t> </w:t>
      </w:r>
    </w:p>
    <w:p w:rsidR="0043472C" w:rsidRDefault="0043472C" w:rsidP="0043472C">
      <w:r>
        <w:t xml:space="preserve">Les difficultés rencontrées étaient essentiellement liées à la définition du périmètre et la prise en compte des différents rôles de contreparties lesquelles pouvaient être </w:t>
      </w:r>
      <w:proofErr w:type="spellStart"/>
      <w:r>
        <w:t>Obligor</w:t>
      </w:r>
      <w:proofErr w:type="spellEnd"/>
      <w:r>
        <w:t xml:space="preserve">, </w:t>
      </w:r>
      <w:proofErr w:type="spellStart"/>
      <w:r>
        <w:t>Borrower</w:t>
      </w:r>
      <w:proofErr w:type="spellEnd"/>
      <w:r>
        <w:t xml:space="preserve"> ou Sponsor.</w:t>
      </w:r>
    </w:p>
    <w:p w:rsidR="0043472C" w:rsidRPr="0043472C" w:rsidRDefault="0043472C" w:rsidP="0043472C">
      <w:r>
        <w:t xml:space="preserve">Les palliatifs apportés étaient essentiellement d’ordre de paramétrage de requête sur lesquels ne nous attarderons pas. </w:t>
      </w:r>
    </w:p>
    <w:p w:rsidR="009C11FE" w:rsidRDefault="007B1D19" w:rsidP="00766473">
      <w:pPr>
        <w:pStyle w:val="Titre2"/>
      </w:pPr>
      <w:bookmarkStart w:id="51" w:name="_Toc368697829"/>
      <w:r>
        <w:t>Revue des collatéraux</w:t>
      </w:r>
      <w:bookmarkEnd w:id="51"/>
    </w:p>
    <w:p w:rsidR="007B1D19" w:rsidRPr="00EE062D" w:rsidRDefault="007B1D19" w:rsidP="007B1D19">
      <w:pPr>
        <w:jc w:val="both"/>
        <w:rPr>
          <w:rFonts w:asciiTheme="minorHAnsi" w:hAnsiTheme="minorHAnsi"/>
        </w:rPr>
      </w:pPr>
      <w:r w:rsidRPr="00EE062D">
        <w:rPr>
          <w:rFonts w:asciiTheme="minorHAnsi" w:hAnsiTheme="minorHAnsi"/>
        </w:rPr>
        <w:t xml:space="preserve">L’objet de ce report est le suivi des valeurs des actifs  (que l’on appelle aussi </w:t>
      </w:r>
      <w:proofErr w:type="spellStart"/>
      <w:r w:rsidRPr="00EE062D">
        <w:rPr>
          <w:rFonts w:asciiTheme="minorHAnsi" w:hAnsiTheme="minorHAnsi"/>
          <w:i/>
        </w:rPr>
        <w:t>Collateral</w:t>
      </w:r>
      <w:proofErr w:type="spellEnd"/>
      <w:r w:rsidRPr="00EE062D">
        <w:rPr>
          <w:rFonts w:asciiTheme="minorHAnsi" w:hAnsiTheme="minorHAnsi"/>
        </w:rPr>
        <w:t xml:space="preserve"> car c’est une garantie) afin de s’assurer d’une couverture correcte du </w:t>
      </w:r>
      <w:proofErr w:type="spellStart"/>
      <w:r w:rsidRPr="00EE062D">
        <w:rPr>
          <w:rFonts w:asciiTheme="minorHAnsi" w:hAnsiTheme="minorHAnsi"/>
        </w:rPr>
        <w:t>loan</w:t>
      </w:r>
      <w:proofErr w:type="spellEnd"/>
      <w:r w:rsidR="007565F4">
        <w:rPr>
          <w:rFonts w:asciiTheme="minorHAnsi" w:hAnsiTheme="minorHAnsi"/>
        </w:rPr>
        <w:t xml:space="preserve"> (le crédit)</w:t>
      </w:r>
      <w:r w:rsidRPr="00EE062D">
        <w:rPr>
          <w:rFonts w:asciiTheme="minorHAnsi" w:hAnsiTheme="minorHAnsi"/>
        </w:rPr>
        <w:t xml:space="preserve">. </w:t>
      </w:r>
    </w:p>
    <w:p w:rsidR="007B1D19" w:rsidRPr="00EE062D" w:rsidRDefault="007B1D19" w:rsidP="007B1D19">
      <w:pPr>
        <w:jc w:val="both"/>
        <w:rPr>
          <w:rFonts w:asciiTheme="minorHAnsi" w:hAnsiTheme="minorHAnsi"/>
        </w:rPr>
      </w:pPr>
      <w:r w:rsidRPr="00EE062D">
        <w:rPr>
          <w:rFonts w:asciiTheme="minorHAnsi" w:hAnsiTheme="minorHAnsi"/>
        </w:rPr>
        <w:t>Autrement dit, nous devons toujours nous assurer que la banque récupéra ses fonds en cas de défaut de crédit et</w:t>
      </w:r>
      <w:r w:rsidR="00905341">
        <w:rPr>
          <w:rFonts w:asciiTheme="minorHAnsi" w:hAnsiTheme="minorHAnsi"/>
        </w:rPr>
        <w:t xml:space="preserve"> </w:t>
      </w:r>
      <w:r w:rsidRPr="00EE062D">
        <w:rPr>
          <w:rFonts w:asciiTheme="minorHAnsi" w:hAnsiTheme="minorHAnsi"/>
        </w:rPr>
        <w:t>/ou de contrepartie par la revente de l’actif.</w:t>
      </w:r>
    </w:p>
    <w:p w:rsidR="007B1D19" w:rsidRPr="00EE062D" w:rsidRDefault="007B1D19" w:rsidP="007B1D19">
      <w:pPr>
        <w:jc w:val="both"/>
        <w:rPr>
          <w:rFonts w:asciiTheme="minorHAnsi" w:hAnsiTheme="minorHAnsi"/>
        </w:rPr>
      </w:pPr>
      <w:r w:rsidRPr="00EE062D">
        <w:rPr>
          <w:rFonts w:asciiTheme="minorHAnsi" w:hAnsiTheme="minorHAnsi"/>
        </w:rPr>
        <w:t xml:space="preserve">Le report vérifie </w:t>
      </w:r>
      <w:r>
        <w:rPr>
          <w:rFonts w:asciiTheme="minorHAnsi" w:hAnsiTheme="minorHAnsi"/>
          <w:u w:val="single"/>
        </w:rPr>
        <w:t xml:space="preserve">quatre </w:t>
      </w:r>
      <w:r w:rsidRPr="00EE062D">
        <w:rPr>
          <w:rFonts w:asciiTheme="minorHAnsi" w:hAnsiTheme="minorHAnsi"/>
          <w:u w:val="single"/>
        </w:rPr>
        <w:t>caractéristiques</w:t>
      </w:r>
      <w:r w:rsidRPr="00EE062D">
        <w:rPr>
          <w:rFonts w:asciiTheme="minorHAnsi" w:hAnsiTheme="minorHAnsi"/>
        </w:rPr>
        <w:t xml:space="preserve"> du collatéral : sa valeur, sa maturité, sa dernière évaluation et la devise de son évaluation :</w:t>
      </w:r>
    </w:p>
    <w:p w:rsidR="007B1D19" w:rsidRPr="00EE062D" w:rsidRDefault="007B1D19" w:rsidP="007B1D19">
      <w:pPr>
        <w:pStyle w:val="Paragraphedeliste"/>
        <w:numPr>
          <w:ilvl w:val="0"/>
          <w:numId w:val="16"/>
        </w:numPr>
        <w:jc w:val="both"/>
      </w:pPr>
      <w:r w:rsidRPr="00EE062D">
        <w:rPr>
          <w:u w:val="single"/>
        </w:rPr>
        <w:t>La valeur</w:t>
      </w:r>
      <w:r w:rsidRPr="00EE062D">
        <w:t xml:space="preserve"> : s’assurer toujours que la valeur du collatéral est supérieure ou égale à la valeur du </w:t>
      </w:r>
      <w:proofErr w:type="spellStart"/>
      <w:r w:rsidRPr="00EE062D">
        <w:t>loan</w:t>
      </w:r>
      <w:proofErr w:type="spellEnd"/>
      <w:r w:rsidRPr="00EE062D">
        <w:t xml:space="preserve">. Un crédit de 100 doit être couvert, tout au long de sa durée, par une valeur d’actif d’au moins 100. </w:t>
      </w:r>
      <w:r w:rsidRPr="00EE062D">
        <w:br/>
        <w:t xml:space="preserve">De plus, et dans la majorité des cas, une clause insérée dans la documentation stipule que cette valeur d’actif rapportée au </w:t>
      </w:r>
      <w:proofErr w:type="spellStart"/>
      <w:r w:rsidRPr="00EE062D">
        <w:t>loan</w:t>
      </w:r>
      <w:proofErr w:type="spellEnd"/>
      <w:r w:rsidRPr="00EE062D">
        <w:t xml:space="preserve"> doit être d’au moins 120% : c’est la </w:t>
      </w:r>
      <w:r w:rsidRPr="00EE062D">
        <w:rPr>
          <w:i/>
        </w:rPr>
        <w:t>Security Maintenance Clause</w:t>
      </w:r>
      <w:r w:rsidRPr="00EE062D">
        <w:t xml:space="preserve"> ou </w:t>
      </w:r>
      <w:r w:rsidRPr="00EE062D">
        <w:rPr>
          <w:b/>
        </w:rPr>
        <w:t>SMC</w:t>
      </w:r>
      <w:r w:rsidR="007565F4">
        <w:rPr>
          <w:b/>
        </w:rPr>
        <w:t xml:space="preserve"> </w:t>
      </w:r>
      <w:r w:rsidR="007565F4" w:rsidRPr="007565F4">
        <w:t>qui fait l’objet d’un report spécifique</w:t>
      </w:r>
      <w:r w:rsidRPr="00EE062D">
        <w:rPr>
          <w:b/>
        </w:rPr>
        <w:t>).</w:t>
      </w:r>
    </w:p>
    <w:p w:rsidR="007B1D19" w:rsidRPr="00EE062D" w:rsidRDefault="007B1D19" w:rsidP="007B1D19">
      <w:pPr>
        <w:pStyle w:val="Paragraphedeliste"/>
        <w:numPr>
          <w:ilvl w:val="0"/>
          <w:numId w:val="16"/>
        </w:numPr>
        <w:jc w:val="both"/>
      </w:pPr>
      <w:r w:rsidRPr="00EE062D">
        <w:rPr>
          <w:u w:val="single"/>
        </w:rPr>
        <w:t>La maturité</w:t>
      </w:r>
      <w:r w:rsidRPr="00EE062D">
        <w:t> : la durée de vie d’un actif doit être au moins égale à la durée de vie de l’opération, sinon aucun intérêt de vendre un actif obsolète.</w:t>
      </w:r>
    </w:p>
    <w:p w:rsidR="007B1D19" w:rsidRPr="00EE062D" w:rsidRDefault="007B1D19" w:rsidP="007B1D19">
      <w:pPr>
        <w:pStyle w:val="Paragraphedeliste"/>
        <w:numPr>
          <w:ilvl w:val="0"/>
          <w:numId w:val="16"/>
        </w:numPr>
        <w:jc w:val="both"/>
      </w:pPr>
      <w:r w:rsidRPr="00EE062D">
        <w:rPr>
          <w:u w:val="single"/>
        </w:rPr>
        <w:t>La dernière évaluation</w:t>
      </w:r>
      <w:r w:rsidRPr="00EE062D">
        <w:t> : sauf événement exceptionnel, un actif doit être évalué au moins une fois par année.</w:t>
      </w:r>
    </w:p>
    <w:p w:rsidR="007B1D19" w:rsidRDefault="007B1D19" w:rsidP="007B1D19">
      <w:pPr>
        <w:pStyle w:val="Paragraphedeliste"/>
        <w:numPr>
          <w:ilvl w:val="0"/>
          <w:numId w:val="16"/>
        </w:numPr>
        <w:jc w:val="both"/>
      </w:pPr>
      <w:r w:rsidRPr="00EE062D">
        <w:rPr>
          <w:u w:val="single"/>
        </w:rPr>
        <w:t>La devise d’évaluation</w:t>
      </w:r>
      <w:r w:rsidRPr="00EE062D">
        <w:t xml:space="preserve"> : la devise d’évaluation d’un actif doit être la même que celle du </w:t>
      </w:r>
      <w:proofErr w:type="spellStart"/>
      <w:r w:rsidRPr="00EE062D">
        <w:t>loan</w:t>
      </w:r>
      <w:proofErr w:type="spellEnd"/>
      <w:r w:rsidRPr="00EE062D">
        <w:t xml:space="preserve">, ou alors doit être convertie dans les outils. </w:t>
      </w:r>
    </w:p>
    <w:p w:rsidR="007B1D19" w:rsidRDefault="007B1D19" w:rsidP="007B1D19">
      <w:pPr>
        <w:jc w:val="both"/>
        <w:rPr>
          <w:rFonts w:asciiTheme="minorHAnsi" w:hAnsiTheme="minorHAnsi"/>
        </w:rPr>
      </w:pPr>
      <w:r w:rsidRPr="00953DD0">
        <w:rPr>
          <w:rFonts w:asciiTheme="minorHAnsi" w:hAnsiTheme="minorHAnsi"/>
        </w:rPr>
        <w:t xml:space="preserve">En plus de </w:t>
      </w:r>
      <w:r w:rsidR="007565F4">
        <w:rPr>
          <w:rFonts w:asciiTheme="minorHAnsi" w:hAnsiTheme="minorHAnsi"/>
        </w:rPr>
        <w:t>ces caractéristique, le report</w:t>
      </w:r>
      <w:r w:rsidRPr="00953DD0">
        <w:rPr>
          <w:rFonts w:asciiTheme="minorHAnsi" w:hAnsiTheme="minorHAnsi"/>
        </w:rPr>
        <w:t xml:space="preserve"> monitor les deals pour lesquels il n’y a pas de collat</w:t>
      </w:r>
      <w:r w:rsidR="007565F4">
        <w:rPr>
          <w:rFonts w:asciiTheme="minorHAnsi" w:hAnsiTheme="minorHAnsi"/>
        </w:rPr>
        <w:t>éral</w:t>
      </w:r>
      <w:r w:rsidRPr="00953DD0">
        <w:rPr>
          <w:rFonts w:asciiTheme="minorHAnsi" w:hAnsiTheme="minorHAnsi"/>
        </w:rPr>
        <w:t>, ainsi que les collatéraux présent</w:t>
      </w:r>
      <w:r w:rsidR="007565F4">
        <w:rPr>
          <w:rFonts w:asciiTheme="minorHAnsi" w:hAnsiTheme="minorHAnsi"/>
        </w:rPr>
        <w:t>s</w:t>
      </w:r>
      <w:r w:rsidRPr="00953DD0">
        <w:rPr>
          <w:rFonts w:asciiTheme="minorHAnsi" w:hAnsiTheme="minorHAnsi"/>
        </w:rPr>
        <w:t xml:space="preserve"> en portefeuille sans </w:t>
      </w:r>
      <w:r>
        <w:rPr>
          <w:rFonts w:asciiTheme="minorHAnsi" w:hAnsiTheme="minorHAnsi"/>
        </w:rPr>
        <w:t>encours (</w:t>
      </w:r>
      <w:r w:rsidRPr="00953DD0">
        <w:rPr>
          <w:rFonts w:asciiTheme="minorHAnsi" w:hAnsiTheme="minorHAnsi"/>
        </w:rPr>
        <w:t xml:space="preserve">par exemple, les deals vendu mais dont </w:t>
      </w:r>
      <w:r>
        <w:rPr>
          <w:rFonts w:asciiTheme="minorHAnsi" w:hAnsiTheme="minorHAnsi"/>
        </w:rPr>
        <w:t>SG doit</w:t>
      </w:r>
      <w:r w:rsidRPr="00953DD0">
        <w:rPr>
          <w:rFonts w:asciiTheme="minorHAnsi" w:hAnsiTheme="minorHAnsi"/>
        </w:rPr>
        <w:t xml:space="preserve"> </w:t>
      </w:r>
      <w:r>
        <w:rPr>
          <w:rFonts w:asciiTheme="minorHAnsi" w:hAnsiTheme="minorHAnsi"/>
        </w:rPr>
        <w:t xml:space="preserve">toujours </w:t>
      </w:r>
      <w:r w:rsidRPr="00953DD0">
        <w:rPr>
          <w:rFonts w:asciiTheme="minorHAnsi" w:hAnsiTheme="minorHAnsi"/>
        </w:rPr>
        <w:t>suivre la valeur du collatéral).</w:t>
      </w:r>
    </w:p>
    <w:p w:rsidR="007565F4" w:rsidRPr="007565F4" w:rsidRDefault="007565F4" w:rsidP="00986BF0">
      <w:pPr>
        <w:pStyle w:val="Titre3"/>
      </w:pPr>
      <w:bookmarkStart w:id="52" w:name="_Toc363119477"/>
      <w:bookmarkStart w:id="53" w:name="_Toc368697830"/>
      <w:r w:rsidRPr="007565F4">
        <w:t>Timing</w:t>
      </w:r>
      <w:bookmarkEnd w:id="52"/>
      <w:bookmarkEnd w:id="53"/>
      <w:r w:rsidRPr="007565F4">
        <w:t> </w:t>
      </w:r>
    </w:p>
    <w:p w:rsidR="007565F4" w:rsidRDefault="007565F4" w:rsidP="007565F4">
      <w:pPr>
        <w:jc w:val="both"/>
        <w:rPr>
          <w:rFonts w:asciiTheme="minorHAnsi" w:hAnsiTheme="minorHAnsi"/>
        </w:rPr>
      </w:pPr>
      <w:r w:rsidRPr="00EE062D">
        <w:rPr>
          <w:rFonts w:asciiTheme="minorHAnsi" w:hAnsiTheme="minorHAnsi"/>
        </w:rPr>
        <w:t xml:space="preserve">La </w:t>
      </w:r>
      <w:r>
        <w:rPr>
          <w:rFonts w:asciiTheme="minorHAnsi" w:hAnsiTheme="minorHAnsi"/>
        </w:rPr>
        <w:t>Revue des collatéraux</w:t>
      </w:r>
      <w:r w:rsidRPr="00EE062D">
        <w:rPr>
          <w:rFonts w:asciiTheme="minorHAnsi" w:hAnsiTheme="minorHAnsi"/>
        </w:rPr>
        <w:t xml:space="preserve"> se fait chaque mois. D’un mois à l’autre, les mêmes collatéraux pourraient apparaitre en « </w:t>
      </w:r>
      <w:r w:rsidR="004206E6">
        <w:rPr>
          <w:rFonts w:asciiTheme="minorHAnsi" w:hAnsiTheme="minorHAnsi"/>
        </w:rPr>
        <w:t>Warning</w:t>
      </w:r>
      <w:r w:rsidRPr="00EE062D">
        <w:rPr>
          <w:rFonts w:asciiTheme="minorHAnsi" w:hAnsiTheme="minorHAnsi"/>
        </w:rPr>
        <w:t>». Il faut veiller à ce qu’un commentaire précise explicitement que l’anomalie a déjà été remontée et qu’elle n’est toujours pas régularisé ou expliquée.</w:t>
      </w:r>
    </w:p>
    <w:p w:rsidR="007565F4" w:rsidRPr="007565F4" w:rsidRDefault="007565F4" w:rsidP="00986BF0">
      <w:pPr>
        <w:pStyle w:val="Titre3"/>
        <w:rPr>
          <w:i/>
        </w:rPr>
      </w:pPr>
      <w:bookmarkStart w:id="54" w:name="_Toc368697831"/>
      <w:r w:rsidRPr="007565F4">
        <w:t xml:space="preserve">Périmètre  de la </w:t>
      </w:r>
      <w:r>
        <w:t>Revue des collatéraux</w:t>
      </w:r>
      <w:bookmarkEnd w:id="54"/>
    </w:p>
    <w:p w:rsidR="007565F4" w:rsidRPr="00EE062D" w:rsidRDefault="007565F4" w:rsidP="007565F4">
      <w:pPr>
        <w:rPr>
          <w:rFonts w:asciiTheme="minorHAnsi" w:hAnsiTheme="minorHAnsi"/>
        </w:rPr>
      </w:pPr>
      <w:r w:rsidRPr="00EE062D">
        <w:rPr>
          <w:rFonts w:asciiTheme="minorHAnsi" w:hAnsiTheme="minorHAnsi"/>
        </w:rPr>
        <w:t>Le périmètre est cantonné uniquement à MER (Shipping) et AER (</w:t>
      </w:r>
      <w:proofErr w:type="spellStart"/>
      <w:r w:rsidRPr="00EE062D">
        <w:rPr>
          <w:rFonts w:asciiTheme="minorHAnsi" w:hAnsiTheme="minorHAnsi"/>
        </w:rPr>
        <w:t>Aircraft</w:t>
      </w:r>
      <w:proofErr w:type="spellEnd"/>
      <w:r w:rsidRPr="00EE062D">
        <w:rPr>
          <w:rFonts w:asciiTheme="minorHAnsi" w:hAnsiTheme="minorHAnsi"/>
        </w:rPr>
        <w:t xml:space="preserve">). </w:t>
      </w:r>
      <w:r>
        <w:rPr>
          <w:rFonts w:asciiTheme="minorHAnsi" w:hAnsiTheme="minorHAnsi"/>
        </w:rPr>
        <w:t>L</w:t>
      </w:r>
      <w:r w:rsidRPr="00EE062D">
        <w:rPr>
          <w:rFonts w:asciiTheme="minorHAnsi" w:hAnsiTheme="minorHAnsi"/>
        </w:rPr>
        <w:t xml:space="preserve">a raison est que c’est les seuls collatéraux </w:t>
      </w:r>
      <w:proofErr w:type="spellStart"/>
      <w:r w:rsidRPr="00EE062D">
        <w:rPr>
          <w:rFonts w:asciiTheme="minorHAnsi" w:hAnsiTheme="minorHAnsi"/>
        </w:rPr>
        <w:t>monitorés</w:t>
      </w:r>
      <w:proofErr w:type="spellEnd"/>
      <w:r w:rsidRPr="00EE062D">
        <w:rPr>
          <w:rFonts w:asciiTheme="minorHAnsi" w:hAnsiTheme="minorHAnsi"/>
        </w:rPr>
        <w:t xml:space="preserve"> car ayant un impact sur le RWA.</w:t>
      </w:r>
    </w:p>
    <w:p w:rsidR="007565F4" w:rsidRPr="00EE062D" w:rsidRDefault="007565F4" w:rsidP="00311639">
      <w:pPr>
        <w:rPr>
          <w:rFonts w:asciiTheme="minorHAnsi" w:hAnsiTheme="minorHAnsi"/>
        </w:rPr>
      </w:pPr>
      <w:r w:rsidRPr="00EE062D">
        <w:rPr>
          <w:rFonts w:asciiTheme="minorHAnsi" w:hAnsiTheme="minorHAnsi"/>
        </w:rPr>
        <w:lastRenderedPageBreak/>
        <w:t>Chacune des caractéristiques citées ci-dessus est disponi</w:t>
      </w:r>
      <w:r w:rsidR="00311639">
        <w:rPr>
          <w:rFonts w:asciiTheme="minorHAnsi" w:hAnsiTheme="minorHAnsi"/>
        </w:rPr>
        <w:t>ble dans un onglet séparé</w:t>
      </w:r>
      <w:r w:rsidRPr="00EE062D">
        <w:rPr>
          <w:rFonts w:asciiTheme="minorHAnsi" w:hAnsiTheme="minorHAnsi"/>
        </w:rPr>
        <w:t xml:space="preserve">. Une attention particulière doit être portée aux </w:t>
      </w:r>
      <w:r w:rsidR="00311639">
        <w:rPr>
          <w:rFonts w:asciiTheme="minorHAnsi" w:hAnsiTheme="minorHAnsi"/>
        </w:rPr>
        <w:t xml:space="preserve">anomalies ressorties </w:t>
      </w:r>
      <w:r w:rsidRPr="00EE062D">
        <w:rPr>
          <w:rFonts w:asciiTheme="minorHAnsi" w:hAnsiTheme="minorHAnsi"/>
        </w:rPr>
        <w:t>apparaissant en « </w:t>
      </w:r>
      <w:r w:rsidR="004206E6" w:rsidRPr="004206E6">
        <w:rPr>
          <w:rFonts w:asciiTheme="minorHAnsi" w:hAnsiTheme="minorHAnsi"/>
        </w:rPr>
        <w:t>Warning</w:t>
      </w:r>
      <w:r w:rsidRPr="00EE062D">
        <w:rPr>
          <w:rFonts w:asciiTheme="minorHAnsi" w:hAnsiTheme="minorHAnsi"/>
        </w:rPr>
        <w:t>». Le RM doit fournir des éléments d’explication sur chacune des anomalies.</w:t>
      </w:r>
    </w:p>
    <w:p w:rsidR="007565F4" w:rsidRPr="00EE062D" w:rsidRDefault="007565F4" w:rsidP="007565F4">
      <w:pPr>
        <w:rPr>
          <w:rFonts w:asciiTheme="minorHAnsi" w:hAnsiTheme="minorHAnsi"/>
        </w:rPr>
      </w:pPr>
      <w:r w:rsidRPr="00EE062D">
        <w:rPr>
          <w:rFonts w:asciiTheme="minorHAnsi" w:hAnsiTheme="minorHAnsi"/>
        </w:rPr>
        <w:t xml:space="preserve">L’évaluation des navires se fait par des brokers spécialisés (BRS, </w:t>
      </w:r>
      <w:proofErr w:type="spellStart"/>
      <w:r w:rsidRPr="00EE062D">
        <w:rPr>
          <w:rFonts w:asciiTheme="minorHAnsi" w:hAnsiTheme="minorHAnsi"/>
        </w:rPr>
        <w:t>Platou</w:t>
      </w:r>
      <w:proofErr w:type="spellEnd"/>
      <w:r w:rsidRPr="00EE062D">
        <w:rPr>
          <w:rFonts w:asciiTheme="minorHAnsi" w:hAnsiTheme="minorHAnsi"/>
        </w:rPr>
        <w:t xml:space="preserve">…) et non par un service de la banque. Aussi, Il peut y avoir des variations importantes de valeur des collatéraux entre deux évaluations. L’évaluation des navires doit être saisie  par les </w:t>
      </w:r>
      <w:proofErr w:type="spellStart"/>
      <w:r w:rsidRPr="00EE062D">
        <w:rPr>
          <w:rFonts w:asciiTheme="minorHAnsi" w:hAnsiTheme="minorHAnsi"/>
        </w:rPr>
        <w:t>R</w:t>
      </w:r>
      <w:r w:rsidR="004206E6">
        <w:rPr>
          <w:rFonts w:asciiTheme="minorHAnsi" w:hAnsiTheme="minorHAnsi"/>
        </w:rPr>
        <w:t>isk</w:t>
      </w:r>
      <w:proofErr w:type="spellEnd"/>
      <w:r w:rsidR="004206E6">
        <w:rPr>
          <w:rFonts w:asciiTheme="minorHAnsi" w:hAnsiTheme="minorHAnsi"/>
        </w:rPr>
        <w:t xml:space="preserve"> </w:t>
      </w:r>
      <w:r w:rsidRPr="00EE062D">
        <w:rPr>
          <w:rFonts w:asciiTheme="minorHAnsi" w:hAnsiTheme="minorHAnsi"/>
        </w:rPr>
        <w:t>M</w:t>
      </w:r>
      <w:r w:rsidR="004206E6">
        <w:rPr>
          <w:rFonts w:asciiTheme="minorHAnsi" w:hAnsiTheme="minorHAnsi"/>
        </w:rPr>
        <w:t>anager</w:t>
      </w:r>
      <w:r w:rsidRPr="00EE062D">
        <w:rPr>
          <w:rFonts w:asciiTheme="minorHAnsi" w:hAnsiTheme="minorHAnsi"/>
        </w:rPr>
        <w:t xml:space="preserve"> en charge manuellement sur </w:t>
      </w:r>
      <w:r w:rsidR="004206E6">
        <w:rPr>
          <w:rFonts w:asciiTheme="minorHAnsi" w:hAnsiTheme="minorHAnsi"/>
        </w:rPr>
        <w:t>l’outil dédié</w:t>
      </w:r>
      <w:r w:rsidRPr="00EE062D">
        <w:rPr>
          <w:rFonts w:asciiTheme="minorHAnsi" w:hAnsiTheme="minorHAnsi"/>
        </w:rPr>
        <w:t>.</w:t>
      </w:r>
    </w:p>
    <w:p w:rsidR="007565F4" w:rsidRDefault="007565F4" w:rsidP="007565F4">
      <w:pPr>
        <w:rPr>
          <w:rFonts w:asciiTheme="minorHAnsi" w:hAnsiTheme="minorHAnsi"/>
        </w:rPr>
      </w:pPr>
      <w:r w:rsidRPr="00EE062D">
        <w:rPr>
          <w:rFonts w:asciiTheme="minorHAnsi" w:hAnsiTheme="minorHAnsi"/>
        </w:rPr>
        <w:t>Les avions quant à eux, sont évalués dans la majorité des cas par AVAC (</w:t>
      </w:r>
      <w:proofErr w:type="spellStart"/>
      <w:r w:rsidRPr="00EE062D">
        <w:rPr>
          <w:rFonts w:asciiTheme="minorHAnsi" w:hAnsiTheme="minorHAnsi"/>
        </w:rPr>
        <w:t>Aircraft</w:t>
      </w:r>
      <w:proofErr w:type="spellEnd"/>
      <w:r w:rsidRPr="00EE062D">
        <w:rPr>
          <w:rFonts w:asciiTheme="minorHAnsi" w:hAnsiTheme="minorHAnsi"/>
        </w:rPr>
        <w:t xml:space="preserve"> Value </w:t>
      </w:r>
      <w:proofErr w:type="spellStart"/>
      <w:r w:rsidRPr="00EE062D">
        <w:rPr>
          <w:rFonts w:asciiTheme="minorHAnsi" w:hAnsiTheme="minorHAnsi"/>
        </w:rPr>
        <w:t>Analysis</w:t>
      </w:r>
      <w:proofErr w:type="spellEnd"/>
      <w:r w:rsidRPr="00EE062D">
        <w:rPr>
          <w:rFonts w:asciiTheme="minorHAnsi" w:hAnsiTheme="minorHAnsi"/>
        </w:rPr>
        <w:t xml:space="preserve"> </w:t>
      </w:r>
      <w:proofErr w:type="spellStart"/>
      <w:r w:rsidRPr="00EE062D">
        <w:rPr>
          <w:rFonts w:asciiTheme="minorHAnsi" w:hAnsiTheme="minorHAnsi"/>
        </w:rPr>
        <w:t>Company</w:t>
      </w:r>
      <w:proofErr w:type="spellEnd"/>
      <w:r w:rsidRPr="00EE062D">
        <w:rPr>
          <w:rFonts w:asciiTheme="minorHAnsi" w:hAnsiTheme="minorHAnsi"/>
        </w:rPr>
        <w:t xml:space="preserve">). Des fichiers Excel sont transmis à la banque et sont chargés </w:t>
      </w:r>
      <w:r w:rsidRPr="00EE062D">
        <w:rPr>
          <w:rFonts w:asciiTheme="minorHAnsi" w:hAnsiTheme="minorHAnsi"/>
          <w:i/>
        </w:rPr>
        <w:t>tels quels</w:t>
      </w:r>
      <w:r w:rsidRPr="00EE062D">
        <w:rPr>
          <w:rFonts w:asciiTheme="minorHAnsi" w:hAnsiTheme="minorHAnsi"/>
        </w:rPr>
        <w:t xml:space="preserve"> sur </w:t>
      </w:r>
      <w:r w:rsidR="004206E6">
        <w:rPr>
          <w:rFonts w:asciiTheme="minorHAnsi" w:hAnsiTheme="minorHAnsi"/>
        </w:rPr>
        <w:t>l’outil dédié</w:t>
      </w:r>
      <w:r w:rsidRPr="00EE062D">
        <w:rPr>
          <w:rFonts w:asciiTheme="minorHAnsi" w:hAnsiTheme="minorHAnsi"/>
        </w:rPr>
        <w:t xml:space="preserve">. </w:t>
      </w:r>
    </w:p>
    <w:p w:rsidR="00A115C7" w:rsidRDefault="00A115C7" w:rsidP="00A115C7">
      <w:pPr>
        <w:pStyle w:val="Titre3"/>
      </w:pPr>
      <w:bookmarkStart w:id="55" w:name="_Toc368697832"/>
      <w:r w:rsidRPr="00A115C7">
        <w:t>Difficultés rencontrées</w:t>
      </w:r>
      <w:bookmarkEnd w:id="55"/>
    </w:p>
    <w:p w:rsidR="00767CE0" w:rsidRDefault="00767CE0" w:rsidP="00767CE0">
      <w:pPr>
        <w:rPr>
          <w:b/>
        </w:rPr>
      </w:pPr>
      <w:r w:rsidRPr="00767CE0">
        <w:rPr>
          <w:b/>
        </w:rPr>
        <w:t>Difficultés liées  à des problèmes de flux d’informations</w:t>
      </w:r>
    </w:p>
    <w:p w:rsidR="00767CE0" w:rsidRDefault="00767CE0" w:rsidP="00767CE0">
      <w:r>
        <w:t xml:space="preserve">L’évaluation des collatéraux financés en leasing </w:t>
      </w:r>
      <w:r w:rsidR="002D6489">
        <w:t>dans le système</w:t>
      </w:r>
      <w:r>
        <w:t xml:space="preserve"> </w:t>
      </w:r>
      <w:r w:rsidR="002D6489">
        <w:t xml:space="preserve">d’information </w:t>
      </w:r>
      <w:r>
        <w:t xml:space="preserve">est alimenté sur </w:t>
      </w:r>
      <w:r w:rsidR="002D6489">
        <w:t xml:space="preserve">un </w:t>
      </w:r>
      <w:r>
        <w:t>outil dédiés à ce type de financement</w:t>
      </w:r>
      <w:r w:rsidR="002D6489">
        <w:t xml:space="preserve"> : </w:t>
      </w:r>
      <w:proofErr w:type="spellStart"/>
      <w:r>
        <w:t>Cassiopae</w:t>
      </w:r>
      <w:proofErr w:type="spellEnd"/>
      <w:r>
        <w:t xml:space="preserve">. </w:t>
      </w:r>
      <w:r w:rsidR="00002F5D">
        <w:t>Cet outil de gestion traite de la relation entre les clients et les SPV.</w:t>
      </w:r>
    </w:p>
    <w:p w:rsidR="00002F5D" w:rsidRDefault="00002F5D" w:rsidP="00767CE0">
      <w:r>
        <w:t xml:space="preserve">Jusqu’à lors, l’alimentation de l’évaluation des actifs n’étaient alimenté que sur un autre outil de gestion, LOAN IQ, dédié à la relation entre la SG et ses filiales. Comme expliqué dans les schémas précédents, </w:t>
      </w:r>
      <w:r w:rsidR="002D6489">
        <w:t>cette relation prend la forme d’un financement classique</w:t>
      </w:r>
      <w:r>
        <w:t>.</w:t>
      </w:r>
    </w:p>
    <w:p w:rsidR="00002F5D" w:rsidRDefault="00002F5D" w:rsidP="00767CE0">
      <w:r>
        <w:t xml:space="preserve">CPM dans son paramétrage distingue entre les financements simples et </w:t>
      </w:r>
      <w:r w:rsidR="0090701C">
        <w:t>ceux en</w:t>
      </w:r>
      <w:r>
        <w:t xml:space="preserve"> leasing</w:t>
      </w:r>
      <w:r w:rsidR="0090701C">
        <w:t xml:space="preserve"> </w:t>
      </w:r>
      <w:r>
        <w:t xml:space="preserve">et ne prend </w:t>
      </w:r>
      <w:r w:rsidR="0090701C">
        <w:t xml:space="preserve">donc </w:t>
      </w:r>
      <w:r>
        <w:t>en compte</w:t>
      </w:r>
      <w:r w:rsidR="0090701C">
        <w:t xml:space="preserve"> pour ces dernier </w:t>
      </w:r>
      <w:r>
        <w:t xml:space="preserve">que le flux arrivant de </w:t>
      </w:r>
      <w:proofErr w:type="spellStart"/>
      <w:r>
        <w:t>Cassiopae</w:t>
      </w:r>
      <w:proofErr w:type="spellEnd"/>
      <w:r>
        <w:t xml:space="preserve">. </w:t>
      </w:r>
      <w:r w:rsidR="0090701C">
        <w:br/>
      </w:r>
      <w:r>
        <w:t>Ce</w:t>
      </w:r>
      <w:r w:rsidR="0090701C">
        <w:t>tte</w:t>
      </w:r>
      <w:r>
        <w:t xml:space="preserve"> </w:t>
      </w:r>
      <w:r w:rsidR="0090701C">
        <w:t xml:space="preserve">spécificité faisait ressortir </w:t>
      </w:r>
      <w:r>
        <w:t xml:space="preserve">des anomalies </w:t>
      </w:r>
      <w:r w:rsidR="0090701C">
        <w:t xml:space="preserve">sur </w:t>
      </w:r>
      <w:r>
        <w:t>l’évaluation des collatéraux avec toute les conséquences liés à ces défaillances : provisionnement supplémentaires, dégradation des notes d’actifs</w:t>
      </w:r>
      <w:r w:rsidR="0090701C">
        <w:t>..</w:t>
      </w:r>
      <w:r>
        <w:t xml:space="preserve">. </w:t>
      </w:r>
    </w:p>
    <w:p w:rsidR="00002F5D" w:rsidRDefault="00002F5D" w:rsidP="00767CE0">
      <w:r>
        <w:t xml:space="preserve">La solution apportée était de couper le flux provenant de </w:t>
      </w:r>
      <w:proofErr w:type="spellStart"/>
      <w:r>
        <w:t>Cassiopae</w:t>
      </w:r>
      <w:proofErr w:type="spellEnd"/>
      <w:r>
        <w:t xml:space="preserve"> pour éviter ce type de défaillance. Le projet IREC a donc permis de mettre en évidence un problème d’alimentation.</w:t>
      </w:r>
    </w:p>
    <w:p w:rsidR="00002F5D" w:rsidRDefault="00002F5D" w:rsidP="00767CE0">
      <w:pPr>
        <w:rPr>
          <w:b/>
        </w:rPr>
      </w:pPr>
      <w:r w:rsidRPr="00002F5D">
        <w:rPr>
          <w:b/>
        </w:rPr>
        <w:t>Difficultés liées au paramétrage de LOAN IQ</w:t>
      </w:r>
    </w:p>
    <w:p w:rsidR="00002F5D" w:rsidRDefault="007B2F5C" w:rsidP="00767CE0">
      <w:r>
        <w:t>P</w:t>
      </w:r>
      <w:r w:rsidR="00002F5D">
        <w:t xml:space="preserve">our les actifs </w:t>
      </w:r>
      <w:r w:rsidR="00D61EB1">
        <w:t>non financé en crédit-bail, un bug a été détecté sur LOAN IQ lors des mises à jour des collatéraux.</w:t>
      </w:r>
    </w:p>
    <w:p w:rsidR="00D61EB1" w:rsidRPr="00002F5D" w:rsidRDefault="00D61EB1" w:rsidP="00767CE0">
      <w:r>
        <w:t>L’outil ne prenait pas en compte la nouvelle date d’évaluation si le collatéral ne connaissait pas d’évolution dans sa valeur</w:t>
      </w:r>
      <w:r w:rsidR="0090701C">
        <w:t>,</w:t>
      </w:r>
      <w:r>
        <w:t xml:space="preserve"> envoyant ainsi la même date d’évaluation à CPM</w:t>
      </w:r>
      <w:r w:rsidR="0090701C">
        <w:t xml:space="preserve"> qui était logiquement </w:t>
      </w:r>
      <w:r>
        <w:t>expirée,</w:t>
      </w:r>
      <w:r w:rsidR="0090701C">
        <w:t xml:space="preserve"> et </w:t>
      </w:r>
      <w:r>
        <w:t>se chargeait d’effectuer les procédures de défaillance similaire au problème précédent.</w:t>
      </w:r>
    </w:p>
    <w:p w:rsidR="00767CE0" w:rsidRPr="00A115C7" w:rsidRDefault="007B2F5C" w:rsidP="00767CE0">
      <w:r>
        <w:t>L’anomalie a été signalée aux équipes IT chargée de l’évolution et de la maintenance de LOAN IQ, un release a été programmé.</w:t>
      </w:r>
    </w:p>
    <w:p w:rsidR="007B1D19" w:rsidRDefault="001A57A0" w:rsidP="00986BF0">
      <w:pPr>
        <w:pStyle w:val="Titre2"/>
      </w:pPr>
      <w:bookmarkStart w:id="56" w:name="_Toc368697833"/>
      <w:r>
        <w:t>Suivi du SMC et du LTV</w:t>
      </w:r>
      <w:bookmarkEnd w:id="56"/>
    </w:p>
    <w:p w:rsidR="001A57A0" w:rsidRDefault="001A57A0" w:rsidP="007B1D19">
      <w:r>
        <w:t xml:space="preserve">Dans la même optique du suivi des collatéraux, OPER/IAB effectue un suivi rigoureux de ratios liés aux actifs financés. </w:t>
      </w:r>
    </w:p>
    <w:p w:rsidR="001A57A0" w:rsidRDefault="001A57A0" w:rsidP="007B1D19">
      <w:r>
        <w:lastRenderedPageBreak/>
        <w:t>Le LTV (</w:t>
      </w:r>
      <w:proofErr w:type="spellStart"/>
      <w:r>
        <w:t>Loan</w:t>
      </w:r>
      <w:proofErr w:type="spellEnd"/>
      <w:r>
        <w:t xml:space="preserve"> To Value) est le rapport entre la valeur du prêt (</w:t>
      </w:r>
      <w:proofErr w:type="spellStart"/>
      <w:r>
        <w:t>Loan</w:t>
      </w:r>
      <w:proofErr w:type="spellEnd"/>
      <w:r>
        <w:t xml:space="preserve">) et la valeur de l’actif (Value). Le LTV est dédié aux actifs de type </w:t>
      </w:r>
      <w:proofErr w:type="spellStart"/>
      <w:r>
        <w:t>Aircraft</w:t>
      </w:r>
      <w:proofErr w:type="spellEnd"/>
      <w:r w:rsidR="003770F0">
        <w:t xml:space="preserve"> à la SG-CIB</w:t>
      </w:r>
      <w:r>
        <w:t>.</w:t>
      </w:r>
    </w:p>
    <w:p w:rsidR="001A57A0" w:rsidRDefault="001A57A0" w:rsidP="007B1D19">
      <w:r>
        <w:t>Le SMC (</w:t>
      </w:r>
      <w:r w:rsidRPr="00EE062D">
        <w:rPr>
          <w:i/>
        </w:rPr>
        <w:t>Security Maintenance Clause</w:t>
      </w:r>
      <w:r>
        <w:rPr>
          <w:i/>
        </w:rPr>
        <w:t xml:space="preserve">) </w:t>
      </w:r>
      <w:r w:rsidR="00633A25">
        <w:t xml:space="preserve">répond </w:t>
      </w:r>
      <w:r>
        <w:t xml:space="preserve">au même besoin de monitoring, mais </w:t>
      </w:r>
      <w:r w:rsidR="003770F0">
        <w:t xml:space="preserve">son calcul </w:t>
      </w:r>
      <w:r>
        <w:t>est exactement l’inverse que celui du LTV : SMC=1/LTV. Ce ratio est spécifiques aux financements de type Shipping, c’est-à-dire les bateaux.</w:t>
      </w:r>
    </w:p>
    <w:p w:rsidR="0032533B" w:rsidRDefault="001A57A0" w:rsidP="007B1D19">
      <w:r>
        <w:t xml:space="preserve">Ces ratios, peuvent faire l’objet de clauses </w:t>
      </w:r>
      <w:r w:rsidR="0032533B">
        <w:t xml:space="preserve">contractuelles </w:t>
      </w:r>
      <w:r>
        <w:t>ou non. Dans les deux cas, la banque suit</w:t>
      </w:r>
      <w:r w:rsidR="003770F0">
        <w:t xml:space="preserve"> leur </w:t>
      </w:r>
      <w:r>
        <w:t xml:space="preserve"> l’</w:t>
      </w:r>
      <w:r w:rsidR="0032533B">
        <w:t>évolution</w:t>
      </w:r>
      <w:r w:rsidR="003770F0">
        <w:t>.</w:t>
      </w:r>
      <w:r w:rsidR="0032533B">
        <w:t xml:space="preserve"> En général, le ratio de LTV acceptable par la banque est de 80%. Celui du SMC est quant à lui de 120%</w:t>
      </w:r>
      <w:r w:rsidR="003770F0">
        <w:rPr>
          <w:rStyle w:val="Appelnotedebasdep"/>
        </w:rPr>
        <w:footnoteReference w:id="4"/>
      </w:r>
      <w:r w:rsidR="0032533B">
        <w:t>.</w:t>
      </w:r>
    </w:p>
    <w:p w:rsidR="00633A25" w:rsidRDefault="00633A25" w:rsidP="00633A25">
      <w:pPr>
        <w:pStyle w:val="Titre3"/>
      </w:pPr>
      <w:bookmarkStart w:id="57" w:name="_Toc368697834"/>
      <w:r>
        <w:t xml:space="preserve">Timing </w:t>
      </w:r>
      <w:r w:rsidR="003A659B">
        <w:t>et difficultés rencontrées</w:t>
      </w:r>
      <w:bookmarkEnd w:id="57"/>
    </w:p>
    <w:p w:rsidR="007B1D19" w:rsidRDefault="00633A25" w:rsidP="005F35E6">
      <w:r>
        <w:t>Les deux reports SMC et LTV se font trimestriellement et requiers 5 jours/hommes.</w:t>
      </w:r>
    </w:p>
    <w:p w:rsidR="003A659B" w:rsidRDefault="003A659B" w:rsidP="003A659B">
      <w:r>
        <w:t xml:space="preserve">Le report de suivi de SMC et du LTV effectue, pour chaque deal généré par la banque, le calcul de l’exposition du pool en rapport </w:t>
      </w:r>
      <w:r w:rsidR="00C90BAA">
        <w:t>à</w:t>
      </w:r>
      <w:r>
        <w:t xml:space="preserve"> la valeur de l’actif. Il se peut que pour certaines catégories de deals, un collatéral soit affecté au niveau facilité pour des raisons de modélisation ; la difficulté principale rencontrée lors du paramétrage de la requête a été de faire en sorte que le report se chargera automatiquement de rapporter l’ensemble de ses actifs, situés au niveau facilité, au montant global de la dette qui elle est au niveau deal</w:t>
      </w:r>
      <w:r>
        <w:rPr>
          <w:rStyle w:val="Appelnotedebasdep"/>
        </w:rPr>
        <w:footnoteReference w:id="5"/>
      </w:r>
      <w:r>
        <w:t>.</w:t>
      </w:r>
    </w:p>
    <w:p w:rsidR="00311639" w:rsidRDefault="0005483B" w:rsidP="0005483B">
      <w:pPr>
        <w:pStyle w:val="Titre1"/>
      </w:pPr>
      <w:bookmarkStart w:id="58" w:name="_Toc368697835"/>
      <w:r>
        <w:t>Conclusion</w:t>
      </w:r>
      <w:bookmarkEnd w:id="58"/>
    </w:p>
    <w:p w:rsidR="0005483B" w:rsidRDefault="0005483B" w:rsidP="005F35E6">
      <w:r>
        <w:t>Grace au travail effectué sur avec le projet IREC, l’ensemble des parties concernées par les reports s’est vu fourni des reports automatisés produit à la demande, fiables et simplifiés, et surtout un gain de temps considérable.</w:t>
      </w:r>
    </w:p>
    <w:p w:rsidR="00311639" w:rsidRDefault="00DC01C5">
      <w:r>
        <w:t xml:space="preserve">En terme personnel, le développement de connaissances sur la gestion de projet, mais surtout sur l’utilisation de Business </w:t>
      </w:r>
      <w:proofErr w:type="spellStart"/>
      <w:r>
        <w:t>Objects</w:t>
      </w:r>
      <w:proofErr w:type="spellEnd"/>
      <w:r>
        <w:t xml:space="preserve"> et sur les différentes modélisations de crédits structurés.</w:t>
      </w:r>
      <w:r w:rsidR="00311639">
        <w:br w:type="page"/>
      </w:r>
    </w:p>
    <w:p w:rsidR="003A659B" w:rsidRDefault="00311639" w:rsidP="005F35E6">
      <w:r>
        <w:lastRenderedPageBreak/>
        <w:t>ANNEXES</w:t>
      </w:r>
      <w:r w:rsidR="00FB18FE">
        <w:t> : schéma du système d’information des Financements IAB</w:t>
      </w:r>
      <w:r w:rsidR="00FB18FE">
        <w:br/>
        <w:t>source : Laurent HORVILLEUR – Pilotage et Projet.</w:t>
      </w:r>
    </w:p>
    <w:p w:rsidR="00311639" w:rsidRPr="00153B64" w:rsidRDefault="00FB18FE" w:rsidP="00FB18FE">
      <w:pPr>
        <w:jc w:val="center"/>
      </w:pPr>
      <w:r w:rsidRPr="00FB18FE">
        <w:rPr>
          <w:noProof/>
          <w:lang w:eastAsia="fr-FR"/>
        </w:rPr>
        <w:drawing>
          <wp:inline distT="0" distB="0" distL="0" distR="0">
            <wp:extent cx="7718513" cy="4414800"/>
            <wp:effectExtent l="0" t="1657350" r="0" b="16240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cstate="print"/>
                    <a:srcRect/>
                    <a:stretch>
                      <a:fillRect/>
                    </a:stretch>
                  </pic:blipFill>
                  <pic:spPr bwMode="auto">
                    <a:xfrm rot="5400000">
                      <a:off x="0" y="0"/>
                      <a:ext cx="7718513" cy="4414800"/>
                    </a:xfrm>
                    <a:prstGeom prst="rect">
                      <a:avLst/>
                    </a:prstGeom>
                    <a:noFill/>
                    <a:ln w="9525">
                      <a:noFill/>
                      <a:miter lim="800000"/>
                      <a:headEnd/>
                      <a:tailEnd/>
                    </a:ln>
                  </pic:spPr>
                </pic:pic>
              </a:graphicData>
            </a:graphic>
          </wp:inline>
        </w:drawing>
      </w:r>
    </w:p>
    <w:sectPr w:rsidR="00311639" w:rsidRPr="00153B64" w:rsidSect="00180E87">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FF5" w:rsidRDefault="00856FF5" w:rsidP="001A57A0">
      <w:pPr>
        <w:spacing w:after="0" w:line="240" w:lineRule="auto"/>
      </w:pPr>
      <w:r>
        <w:separator/>
      </w:r>
    </w:p>
  </w:endnote>
  <w:endnote w:type="continuationSeparator" w:id="0">
    <w:p w:rsidR="00856FF5" w:rsidRDefault="00856FF5" w:rsidP="001A57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176851"/>
      <w:docPartObj>
        <w:docPartGallery w:val="Page Numbers (Bottom of Page)"/>
        <w:docPartUnique/>
      </w:docPartObj>
    </w:sdtPr>
    <w:sdtContent>
      <w:p w:rsidR="00ED4308" w:rsidRPr="00AE1A66" w:rsidRDefault="005603B7">
        <w:pPr>
          <w:pStyle w:val="Pieddepage"/>
          <w:jc w:val="right"/>
        </w:pPr>
        <w:r w:rsidRPr="00AE1A66">
          <w:fldChar w:fldCharType="begin"/>
        </w:r>
        <w:r w:rsidR="00ED4308" w:rsidRPr="00AE1A66">
          <w:instrText>PAGE   \* MERGEFORMAT</w:instrText>
        </w:r>
        <w:r w:rsidRPr="00AE1A66">
          <w:fldChar w:fldCharType="separate"/>
        </w:r>
        <w:r w:rsidR="00D07A5C">
          <w:rPr>
            <w:noProof/>
          </w:rPr>
          <w:t>3</w:t>
        </w:r>
        <w:r w:rsidRPr="00AE1A66">
          <w:fldChar w:fldCharType="end"/>
        </w:r>
      </w:p>
    </w:sdtContent>
  </w:sdt>
  <w:p w:rsidR="00ED4308" w:rsidRDefault="00ED430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FF5" w:rsidRDefault="00856FF5" w:rsidP="001A57A0">
      <w:pPr>
        <w:spacing w:after="0" w:line="240" w:lineRule="auto"/>
      </w:pPr>
      <w:r>
        <w:separator/>
      </w:r>
    </w:p>
  </w:footnote>
  <w:footnote w:type="continuationSeparator" w:id="0">
    <w:p w:rsidR="00856FF5" w:rsidRDefault="00856FF5" w:rsidP="001A57A0">
      <w:pPr>
        <w:spacing w:after="0" w:line="240" w:lineRule="auto"/>
      </w:pPr>
      <w:r>
        <w:continuationSeparator/>
      </w:r>
    </w:p>
  </w:footnote>
  <w:footnote w:id="1">
    <w:p w:rsidR="00ED4308" w:rsidRDefault="00ED4308">
      <w:pPr>
        <w:pStyle w:val="Notedebasdepage"/>
      </w:pPr>
      <w:r>
        <w:rPr>
          <w:rStyle w:val="Appelnotedebasdep"/>
        </w:rPr>
        <w:footnoteRef/>
      </w:r>
      <w:r>
        <w:t xml:space="preserve"> Sous Business </w:t>
      </w:r>
      <w:proofErr w:type="spellStart"/>
      <w:r>
        <w:t>Objects</w:t>
      </w:r>
      <w:proofErr w:type="spellEnd"/>
      <w:r>
        <w:t>, la qualité des données est distinguée selon sa nature : numérique, information, ou qualitative. En générale, les données de type qualitatives sont classées en objet. Mais il peut y avoir des exceptions à cette distinction : le but est toujours lors de la définition en amont d’une donnée de facilité la qualité de la requête et du code SQL qui en découle en aval.</w:t>
      </w:r>
    </w:p>
  </w:footnote>
  <w:footnote w:id="2">
    <w:p w:rsidR="00ED4308" w:rsidRDefault="00ED4308">
      <w:pPr>
        <w:pStyle w:val="Notedebasdepage"/>
      </w:pPr>
      <w:r>
        <w:rPr>
          <w:rStyle w:val="Appelnotedebasdep"/>
        </w:rPr>
        <w:footnoteRef/>
      </w:r>
      <w:r>
        <w:t xml:space="preserve"> Les noms des objets et des filtres ont été modifié dans certains cas pour des raisons de confidentialités.</w:t>
      </w:r>
    </w:p>
  </w:footnote>
  <w:footnote w:id="3">
    <w:p w:rsidR="00ED4308" w:rsidRDefault="00ED4308">
      <w:pPr>
        <w:pStyle w:val="Notedebasdepage"/>
      </w:pPr>
      <w:r>
        <w:rPr>
          <w:rStyle w:val="Appelnotedebasdep"/>
        </w:rPr>
        <w:footnoteRef/>
      </w:r>
      <w:r>
        <w:t xml:space="preserve"> Le Net </w:t>
      </w:r>
      <w:proofErr w:type="spellStart"/>
      <w:r>
        <w:t>Risk</w:t>
      </w:r>
      <w:proofErr w:type="spellEnd"/>
      <w:r>
        <w:t xml:space="preserve"> se calcule par la prise en compte des Cash Collatéraux à l’encours brut. Par la même logique, le Net </w:t>
      </w:r>
      <w:proofErr w:type="spellStart"/>
      <w:r>
        <w:t>Risk</w:t>
      </w:r>
      <w:proofErr w:type="spellEnd"/>
      <w:r>
        <w:t xml:space="preserve"> 2 et 3 par la prise en compte des ECA et des couvertures en produits dérivés au Net </w:t>
      </w:r>
      <w:proofErr w:type="spellStart"/>
      <w:r>
        <w:t>Risk</w:t>
      </w:r>
      <w:proofErr w:type="spellEnd"/>
      <w:r>
        <w:t>.</w:t>
      </w:r>
    </w:p>
  </w:footnote>
  <w:footnote w:id="4">
    <w:p w:rsidR="00ED4308" w:rsidRDefault="00ED4308" w:rsidP="003770F0">
      <w:pPr>
        <w:pStyle w:val="Notedebasdepage"/>
        <w:jc w:val="both"/>
      </w:pPr>
      <w:r>
        <w:rPr>
          <w:rStyle w:val="Appelnotedebasdep"/>
        </w:rPr>
        <w:footnoteRef/>
      </w:r>
      <w:r>
        <w:t xml:space="preserve"> Le suivi de trend sur plusieurs mois, voir années, de ces deux ratios permet aussi d’intégrer certaines données de marchés et de constater l’évolution du portefeuille de deals du département. Ainsi, les équipes peuvent déterminer l’impact de ces actifs sur les bilans selon un constat historique de leur évaluation sur le marché et oriente les stratégies à mener en terme de financements. Nous avons été amenés à traiter ce type d’étude au cours du stage pratique. </w:t>
      </w:r>
    </w:p>
  </w:footnote>
  <w:footnote w:id="5">
    <w:p w:rsidR="00ED4308" w:rsidRDefault="00ED4308" w:rsidP="003A659B">
      <w:pPr>
        <w:pStyle w:val="Notedebasdepage"/>
        <w:jc w:val="both"/>
      </w:pPr>
      <w:r>
        <w:rPr>
          <w:rStyle w:val="Appelnotedebasdep"/>
        </w:rPr>
        <w:footnoteRef/>
      </w:r>
      <w:r>
        <w:t xml:space="preserve">La structure d’un deal est composée généralement par un ensemble de facilités, lui-même appartenant à un </w:t>
      </w:r>
      <w:r w:rsidRPr="008F6152">
        <w:rPr>
          <w:i/>
        </w:rPr>
        <w:t>Commercial Deal</w:t>
      </w:r>
      <w:r>
        <w:t xml:space="preserve"> qui regroupe d’autres deals. </w:t>
      </w:r>
    </w:p>
    <w:p w:rsidR="00ED4308" w:rsidRDefault="00ED4308" w:rsidP="003A659B">
      <w:pPr>
        <w:pStyle w:val="Notedebasdepage"/>
        <w:jc w:val="both"/>
      </w:pPr>
      <w:r>
        <w:t xml:space="preserve">Exemple : un commercial deal nommé Société A est composé par un ensemble de deals « deal 1, deal 2… » </w:t>
      </w:r>
      <w:proofErr w:type="gramStart"/>
      <w:r>
        <w:t>destinés</w:t>
      </w:r>
      <w:proofErr w:type="gramEnd"/>
      <w:r>
        <w:t xml:space="preserve"> à financer chacun un actif. Ces deals sont composés chacun d’une facilité  « senior, junior… ». </w:t>
      </w:r>
    </w:p>
    <w:p w:rsidR="00ED4308" w:rsidRDefault="00ED4308" w:rsidP="003A659B">
      <w:pPr>
        <w:pStyle w:val="Notedebasdepage"/>
      </w:pP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308" w:rsidRDefault="00ED4308">
    <w:pPr>
      <w:pStyle w:val="En-tte"/>
    </w:pPr>
    <w:r>
      <w:rPr>
        <w:noProof/>
        <w:lang w:eastAsia="fr-FR"/>
      </w:rPr>
      <w:drawing>
        <wp:anchor distT="0" distB="0" distL="114300" distR="114300" simplePos="0" relativeHeight="251658240" behindDoc="1" locked="0" layoutInCell="1" allowOverlap="1">
          <wp:simplePos x="0" y="0"/>
          <wp:positionH relativeFrom="column">
            <wp:posOffset>4883150</wp:posOffset>
          </wp:positionH>
          <wp:positionV relativeFrom="paragraph">
            <wp:posOffset>-147955</wp:posOffset>
          </wp:positionV>
          <wp:extent cx="1311275" cy="445135"/>
          <wp:effectExtent l="0" t="0" r="3175" b="0"/>
          <wp:wrapThrough wrapText="bothSides">
            <wp:wrapPolygon edited="0">
              <wp:start x="0" y="4622"/>
              <wp:lineTo x="0" y="14790"/>
              <wp:lineTo x="19142" y="16639"/>
              <wp:lineTo x="21025" y="16639"/>
              <wp:lineTo x="21338" y="11093"/>
              <wp:lineTo x="21338" y="6471"/>
              <wp:lineTo x="3766" y="4622"/>
              <wp:lineTo x="0" y="4622"/>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G.gi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11275" cy="445135"/>
                  </a:xfrm>
                  <a:prstGeom prst="rect">
                    <a:avLst/>
                  </a:prstGeom>
                </pic:spPr>
              </pic:pic>
            </a:graphicData>
          </a:graphic>
        </wp:anchor>
      </w:drawing>
    </w:r>
    <w:r>
      <w:t xml:space="preserve">Rapport de Stage – </w:t>
    </w:r>
    <w:proofErr w:type="spellStart"/>
    <w:r>
      <w:t>Bilel</w:t>
    </w:r>
    <w:proofErr w:type="spellEnd"/>
    <w:r>
      <w:t xml:space="preserve"> OUALI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499"/>
    <w:multiLevelType w:val="hybridMultilevel"/>
    <w:tmpl w:val="EB2A57DA"/>
    <w:lvl w:ilvl="0" w:tplc="BA585786">
      <w:start w:val="1"/>
      <w:numFmt w:val="bullet"/>
      <w:lvlText w:val=""/>
      <w:lvlJc w:val="left"/>
      <w:pPr>
        <w:tabs>
          <w:tab w:val="num" w:pos="720"/>
        </w:tabs>
        <w:ind w:left="720" w:hanging="360"/>
      </w:pPr>
      <w:rPr>
        <w:rFonts w:ascii="Wingdings" w:hAnsi="Wingdings" w:hint="default"/>
      </w:rPr>
    </w:lvl>
    <w:lvl w:ilvl="1" w:tplc="14A20B9A">
      <w:start w:val="2928"/>
      <w:numFmt w:val="bullet"/>
      <w:lvlText w:val=""/>
      <w:lvlJc w:val="left"/>
      <w:pPr>
        <w:tabs>
          <w:tab w:val="num" w:pos="1440"/>
        </w:tabs>
        <w:ind w:left="1440" w:hanging="360"/>
      </w:pPr>
      <w:rPr>
        <w:rFonts w:ascii="Webdings" w:hAnsi="Webdings" w:hint="default"/>
      </w:rPr>
    </w:lvl>
    <w:lvl w:ilvl="2" w:tplc="8D4CFE38">
      <w:start w:val="2928"/>
      <w:numFmt w:val="bullet"/>
      <w:lvlText w:val="•"/>
      <w:lvlJc w:val="left"/>
      <w:pPr>
        <w:tabs>
          <w:tab w:val="num" w:pos="2160"/>
        </w:tabs>
        <w:ind w:left="2160" w:hanging="360"/>
      </w:pPr>
      <w:rPr>
        <w:rFonts w:ascii="Times New Roman" w:hAnsi="Times New Roman" w:hint="default"/>
      </w:rPr>
    </w:lvl>
    <w:lvl w:ilvl="3" w:tplc="6D8609DA" w:tentative="1">
      <w:start w:val="1"/>
      <w:numFmt w:val="bullet"/>
      <w:lvlText w:val=""/>
      <w:lvlJc w:val="left"/>
      <w:pPr>
        <w:tabs>
          <w:tab w:val="num" w:pos="2880"/>
        </w:tabs>
        <w:ind w:left="2880" w:hanging="360"/>
      </w:pPr>
      <w:rPr>
        <w:rFonts w:ascii="Wingdings" w:hAnsi="Wingdings" w:hint="default"/>
      </w:rPr>
    </w:lvl>
    <w:lvl w:ilvl="4" w:tplc="71BA6702" w:tentative="1">
      <w:start w:val="1"/>
      <w:numFmt w:val="bullet"/>
      <w:lvlText w:val=""/>
      <w:lvlJc w:val="left"/>
      <w:pPr>
        <w:tabs>
          <w:tab w:val="num" w:pos="3600"/>
        </w:tabs>
        <w:ind w:left="3600" w:hanging="360"/>
      </w:pPr>
      <w:rPr>
        <w:rFonts w:ascii="Wingdings" w:hAnsi="Wingdings" w:hint="default"/>
      </w:rPr>
    </w:lvl>
    <w:lvl w:ilvl="5" w:tplc="37EA9B7E" w:tentative="1">
      <w:start w:val="1"/>
      <w:numFmt w:val="bullet"/>
      <w:lvlText w:val=""/>
      <w:lvlJc w:val="left"/>
      <w:pPr>
        <w:tabs>
          <w:tab w:val="num" w:pos="4320"/>
        </w:tabs>
        <w:ind w:left="4320" w:hanging="360"/>
      </w:pPr>
      <w:rPr>
        <w:rFonts w:ascii="Wingdings" w:hAnsi="Wingdings" w:hint="default"/>
      </w:rPr>
    </w:lvl>
    <w:lvl w:ilvl="6" w:tplc="BC4C254A" w:tentative="1">
      <w:start w:val="1"/>
      <w:numFmt w:val="bullet"/>
      <w:lvlText w:val=""/>
      <w:lvlJc w:val="left"/>
      <w:pPr>
        <w:tabs>
          <w:tab w:val="num" w:pos="5040"/>
        </w:tabs>
        <w:ind w:left="5040" w:hanging="360"/>
      </w:pPr>
      <w:rPr>
        <w:rFonts w:ascii="Wingdings" w:hAnsi="Wingdings" w:hint="default"/>
      </w:rPr>
    </w:lvl>
    <w:lvl w:ilvl="7" w:tplc="0C9ADB50" w:tentative="1">
      <w:start w:val="1"/>
      <w:numFmt w:val="bullet"/>
      <w:lvlText w:val=""/>
      <w:lvlJc w:val="left"/>
      <w:pPr>
        <w:tabs>
          <w:tab w:val="num" w:pos="5760"/>
        </w:tabs>
        <w:ind w:left="5760" w:hanging="360"/>
      </w:pPr>
      <w:rPr>
        <w:rFonts w:ascii="Wingdings" w:hAnsi="Wingdings" w:hint="default"/>
      </w:rPr>
    </w:lvl>
    <w:lvl w:ilvl="8" w:tplc="29A2713C" w:tentative="1">
      <w:start w:val="1"/>
      <w:numFmt w:val="bullet"/>
      <w:lvlText w:val=""/>
      <w:lvlJc w:val="left"/>
      <w:pPr>
        <w:tabs>
          <w:tab w:val="num" w:pos="6480"/>
        </w:tabs>
        <w:ind w:left="6480" w:hanging="360"/>
      </w:pPr>
      <w:rPr>
        <w:rFonts w:ascii="Wingdings" w:hAnsi="Wingdings" w:hint="default"/>
      </w:rPr>
    </w:lvl>
  </w:abstractNum>
  <w:abstractNum w:abstractNumId="1">
    <w:nsid w:val="12144DEE"/>
    <w:multiLevelType w:val="hybridMultilevel"/>
    <w:tmpl w:val="D5E691DE"/>
    <w:lvl w:ilvl="0" w:tplc="73945FDA">
      <w:start w:val="1"/>
      <w:numFmt w:val="bullet"/>
      <w:lvlText w:val=""/>
      <w:lvlJc w:val="left"/>
      <w:pPr>
        <w:tabs>
          <w:tab w:val="num" w:pos="720"/>
        </w:tabs>
        <w:ind w:left="720" w:hanging="360"/>
      </w:pPr>
      <w:rPr>
        <w:rFonts w:ascii="Webdings" w:hAnsi="Webdings" w:hint="default"/>
      </w:rPr>
    </w:lvl>
    <w:lvl w:ilvl="1" w:tplc="AA225A9A">
      <w:start w:val="1"/>
      <w:numFmt w:val="bullet"/>
      <w:lvlText w:val=""/>
      <w:lvlJc w:val="left"/>
      <w:pPr>
        <w:tabs>
          <w:tab w:val="num" w:pos="1440"/>
        </w:tabs>
        <w:ind w:left="1440" w:hanging="360"/>
      </w:pPr>
      <w:rPr>
        <w:rFonts w:ascii="Webdings" w:hAnsi="Webdings" w:hint="default"/>
      </w:rPr>
    </w:lvl>
    <w:lvl w:ilvl="2" w:tplc="4A808414" w:tentative="1">
      <w:start w:val="1"/>
      <w:numFmt w:val="bullet"/>
      <w:lvlText w:val=""/>
      <w:lvlJc w:val="left"/>
      <w:pPr>
        <w:tabs>
          <w:tab w:val="num" w:pos="2160"/>
        </w:tabs>
        <w:ind w:left="2160" w:hanging="360"/>
      </w:pPr>
      <w:rPr>
        <w:rFonts w:ascii="Webdings" w:hAnsi="Webdings" w:hint="default"/>
      </w:rPr>
    </w:lvl>
    <w:lvl w:ilvl="3" w:tplc="8BF0DF2A" w:tentative="1">
      <w:start w:val="1"/>
      <w:numFmt w:val="bullet"/>
      <w:lvlText w:val=""/>
      <w:lvlJc w:val="left"/>
      <w:pPr>
        <w:tabs>
          <w:tab w:val="num" w:pos="2880"/>
        </w:tabs>
        <w:ind w:left="2880" w:hanging="360"/>
      </w:pPr>
      <w:rPr>
        <w:rFonts w:ascii="Webdings" w:hAnsi="Webdings" w:hint="default"/>
      </w:rPr>
    </w:lvl>
    <w:lvl w:ilvl="4" w:tplc="112ADF5E" w:tentative="1">
      <w:start w:val="1"/>
      <w:numFmt w:val="bullet"/>
      <w:lvlText w:val=""/>
      <w:lvlJc w:val="left"/>
      <w:pPr>
        <w:tabs>
          <w:tab w:val="num" w:pos="3600"/>
        </w:tabs>
        <w:ind w:left="3600" w:hanging="360"/>
      </w:pPr>
      <w:rPr>
        <w:rFonts w:ascii="Webdings" w:hAnsi="Webdings" w:hint="default"/>
      </w:rPr>
    </w:lvl>
    <w:lvl w:ilvl="5" w:tplc="9410CB04" w:tentative="1">
      <w:start w:val="1"/>
      <w:numFmt w:val="bullet"/>
      <w:lvlText w:val=""/>
      <w:lvlJc w:val="left"/>
      <w:pPr>
        <w:tabs>
          <w:tab w:val="num" w:pos="4320"/>
        </w:tabs>
        <w:ind w:left="4320" w:hanging="360"/>
      </w:pPr>
      <w:rPr>
        <w:rFonts w:ascii="Webdings" w:hAnsi="Webdings" w:hint="default"/>
      </w:rPr>
    </w:lvl>
    <w:lvl w:ilvl="6" w:tplc="15C0E206" w:tentative="1">
      <w:start w:val="1"/>
      <w:numFmt w:val="bullet"/>
      <w:lvlText w:val=""/>
      <w:lvlJc w:val="left"/>
      <w:pPr>
        <w:tabs>
          <w:tab w:val="num" w:pos="5040"/>
        </w:tabs>
        <w:ind w:left="5040" w:hanging="360"/>
      </w:pPr>
      <w:rPr>
        <w:rFonts w:ascii="Webdings" w:hAnsi="Webdings" w:hint="default"/>
      </w:rPr>
    </w:lvl>
    <w:lvl w:ilvl="7" w:tplc="9C864B30" w:tentative="1">
      <w:start w:val="1"/>
      <w:numFmt w:val="bullet"/>
      <w:lvlText w:val=""/>
      <w:lvlJc w:val="left"/>
      <w:pPr>
        <w:tabs>
          <w:tab w:val="num" w:pos="5760"/>
        </w:tabs>
        <w:ind w:left="5760" w:hanging="360"/>
      </w:pPr>
      <w:rPr>
        <w:rFonts w:ascii="Webdings" w:hAnsi="Webdings" w:hint="default"/>
      </w:rPr>
    </w:lvl>
    <w:lvl w:ilvl="8" w:tplc="F25A235A" w:tentative="1">
      <w:start w:val="1"/>
      <w:numFmt w:val="bullet"/>
      <w:lvlText w:val=""/>
      <w:lvlJc w:val="left"/>
      <w:pPr>
        <w:tabs>
          <w:tab w:val="num" w:pos="6480"/>
        </w:tabs>
        <w:ind w:left="6480" w:hanging="360"/>
      </w:pPr>
      <w:rPr>
        <w:rFonts w:ascii="Webdings" w:hAnsi="Webdings" w:hint="default"/>
      </w:rPr>
    </w:lvl>
  </w:abstractNum>
  <w:abstractNum w:abstractNumId="2">
    <w:nsid w:val="1D2D7AF3"/>
    <w:multiLevelType w:val="hybridMultilevel"/>
    <w:tmpl w:val="3624940A"/>
    <w:lvl w:ilvl="0" w:tplc="EB8C1472">
      <w:start w:val="1"/>
      <w:numFmt w:val="bullet"/>
      <w:lvlText w:val=""/>
      <w:lvlJc w:val="left"/>
      <w:pPr>
        <w:tabs>
          <w:tab w:val="num" w:pos="720"/>
        </w:tabs>
        <w:ind w:left="720" w:hanging="360"/>
      </w:pPr>
      <w:rPr>
        <w:rFonts w:ascii="Webdings" w:hAnsi="Webdings" w:hint="default"/>
      </w:rPr>
    </w:lvl>
    <w:lvl w:ilvl="1" w:tplc="D8FCD3FA">
      <w:start w:val="1"/>
      <w:numFmt w:val="bullet"/>
      <w:lvlText w:val=""/>
      <w:lvlJc w:val="left"/>
      <w:pPr>
        <w:tabs>
          <w:tab w:val="num" w:pos="1440"/>
        </w:tabs>
        <w:ind w:left="1440" w:hanging="360"/>
      </w:pPr>
      <w:rPr>
        <w:rFonts w:ascii="Webdings" w:hAnsi="Webdings" w:hint="default"/>
      </w:rPr>
    </w:lvl>
    <w:lvl w:ilvl="2" w:tplc="BE9E6CBA" w:tentative="1">
      <w:start w:val="1"/>
      <w:numFmt w:val="bullet"/>
      <w:lvlText w:val=""/>
      <w:lvlJc w:val="left"/>
      <w:pPr>
        <w:tabs>
          <w:tab w:val="num" w:pos="2160"/>
        </w:tabs>
        <w:ind w:left="2160" w:hanging="360"/>
      </w:pPr>
      <w:rPr>
        <w:rFonts w:ascii="Webdings" w:hAnsi="Webdings" w:hint="default"/>
      </w:rPr>
    </w:lvl>
    <w:lvl w:ilvl="3" w:tplc="8AA6A4C8" w:tentative="1">
      <w:start w:val="1"/>
      <w:numFmt w:val="bullet"/>
      <w:lvlText w:val=""/>
      <w:lvlJc w:val="left"/>
      <w:pPr>
        <w:tabs>
          <w:tab w:val="num" w:pos="2880"/>
        </w:tabs>
        <w:ind w:left="2880" w:hanging="360"/>
      </w:pPr>
      <w:rPr>
        <w:rFonts w:ascii="Webdings" w:hAnsi="Webdings" w:hint="default"/>
      </w:rPr>
    </w:lvl>
    <w:lvl w:ilvl="4" w:tplc="21F650D8" w:tentative="1">
      <w:start w:val="1"/>
      <w:numFmt w:val="bullet"/>
      <w:lvlText w:val=""/>
      <w:lvlJc w:val="left"/>
      <w:pPr>
        <w:tabs>
          <w:tab w:val="num" w:pos="3600"/>
        </w:tabs>
        <w:ind w:left="3600" w:hanging="360"/>
      </w:pPr>
      <w:rPr>
        <w:rFonts w:ascii="Webdings" w:hAnsi="Webdings" w:hint="default"/>
      </w:rPr>
    </w:lvl>
    <w:lvl w:ilvl="5" w:tplc="D92C0AE4" w:tentative="1">
      <w:start w:val="1"/>
      <w:numFmt w:val="bullet"/>
      <w:lvlText w:val=""/>
      <w:lvlJc w:val="left"/>
      <w:pPr>
        <w:tabs>
          <w:tab w:val="num" w:pos="4320"/>
        </w:tabs>
        <w:ind w:left="4320" w:hanging="360"/>
      </w:pPr>
      <w:rPr>
        <w:rFonts w:ascii="Webdings" w:hAnsi="Webdings" w:hint="default"/>
      </w:rPr>
    </w:lvl>
    <w:lvl w:ilvl="6" w:tplc="21B69F3C" w:tentative="1">
      <w:start w:val="1"/>
      <w:numFmt w:val="bullet"/>
      <w:lvlText w:val=""/>
      <w:lvlJc w:val="left"/>
      <w:pPr>
        <w:tabs>
          <w:tab w:val="num" w:pos="5040"/>
        </w:tabs>
        <w:ind w:left="5040" w:hanging="360"/>
      </w:pPr>
      <w:rPr>
        <w:rFonts w:ascii="Webdings" w:hAnsi="Webdings" w:hint="default"/>
      </w:rPr>
    </w:lvl>
    <w:lvl w:ilvl="7" w:tplc="5D645A7A" w:tentative="1">
      <w:start w:val="1"/>
      <w:numFmt w:val="bullet"/>
      <w:lvlText w:val=""/>
      <w:lvlJc w:val="left"/>
      <w:pPr>
        <w:tabs>
          <w:tab w:val="num" w:pos="5760"/>
        </w:tabs>
        <w:ind w:left="5760" w:hanging="360"/>
      </w:pPr>
      <w:rPr>
        <w:rFonts w:ascii="Webdings" w:hAnsi="Webdings" w:hint="default"/>
      </w:rPr>
    </w:lvl>
    <w:lvl w:ilvl="8" w:tplc="74DC9DEA" w:tentative="1">
      <w:start w:val="1"/>
      <w:numFmt w:val="bullet"/>
      <w:lvlText w:val=""/>
      <w:lvlJc w:val="left"/>
      <w:pPr>
        <w:tabs>
          <w:tab w:val="num" w:pos="6480"/>
        </w:tabs>
        <w:ind w:left="6480" w:hanging="360"/>
      </w:pPr>
      <w:rPr>
        <w:rFonts w:ascii="Webdings" w:hAnsi="Webdings" w:hint="default"/>
      </w:rPr>
    </w:lvl>
  </w:abstractNum>
  <w:abstractNum w:abstractNumId="3">
    <w:nsid w:val="34B373E1"/>
    <w:multiLevelType w:val="hybridMultilevel"/>
    <w:tmpl w:val="BE14AB58"/>
    <w:lvl w:ilvl="0" w:tplc="E6D633A4">
      <w:start w:val="1"/>
      <w:numFmt w:val="bullet"/>
      <w:lvlText w:val=""/>
      <w:lvlJc w:val="left"/>
      <w:pPr>
        <w:tabs>
          <w:tab w:val="num" w:pos="720"/>
        </w:tabs>
        <w:ind w:left="720" w:hanging="360"/>
      </w:pPr>
      <w:rPr>
        <w:rFonts w:ascii="Wingdings" w:hAnsi="Wingdings" w:hint="default"/>
      </w:rPr>
    </w:lvl>
    <w:lvl w:ilvl="1" w:tplc="78C21358">
      <w:start w:val="1894"/>
      <w:numFmt w:val="bullet"/>
      <w:lvlText w:val=""/>
      <w:lvlJc w:val="left"/>
      <w:pPr>
        <w:tabs>
          <w:tab w:val="num" w:pos="1440"/>
        </w:tabs>
        <w:ind w:left="1440" w:hanging="360"/>
      </w:pPr>
      <w:rPr>
        <w:rFonts w:ascii="Webdings" w:hAnsi="Webdings" w:hint="default"/>
      </w:rPr>
    </w:lvl>
    <w:lvl w:ilvl="2" w:tplc="8F6A569E" w:tentative="1">
      <w:start w:val="1"/>
      <w:numFmt w:val="bullet"/>
      <w:lvlText w:val=""/>
      <w:lvlJc w:val="left"/>
      <w:pPr>
        <w:tabs>
          <w:tab w:val="num" w:pos="2160"/>
        </w:tabs>
        <w:ind w:left="2160" w:hanging="360"/>
      </w:pPr>
      <w:rPr>
        <w:rFonts w:ascii="Wingdings" w:hAnsi="Wingdings" w:hint="default"/>
      </w:rPr>
    </w:lvl>
    <w:lvl w:ilvl="3" w:tplc="832CC5B6" w:tentative="1">
      <w:start w:val="1"/>
      <w:numFmt w:val="bullet"/>
      <w:lvlText w:val=""/>
      <w:lvlJc w:val="left"/>
      <w:pPr>
        <w:tabs>
          <w:tab w:val="num" w:pos="2880"/>
        </w:tabs>
        <w:ind w:left="2880" w:hanging="360"/>
      </w:pPr>
      <w:rPr>
        <w:rFonts w:ascii="Wingdings" w:hAnsi="Wingdings" w:hint="default"/>
      </w:rPr>
    </w:lvl>
    <w:lvl w:ilvl="4" w:tplc="709EEB14" w:tentative="1">
      <w:start w:val="1"/>
      <w:numFmt w:val="bullet"/>
      <w:lvlText w:val=""/>
      <w:lvlJc w:val="left"/>
      <w:pPr>
        <w:tabs>
          <w:tab w:val="num" w:pos="3600"/>
        </w:tabs>
        <w:ind w:left="3600" w:hanging="360"/>
      </w:pPr>
      <w:rPr>
        <w:rFonts w:ascii="Wingdings" w:hAnsi="Wingdings" w:hint="default"/>
      </w:rPr>
    </w:lvl>
    <w:lvl w:ilvl="5" w:tplc="1EC84BBC" w:tentative="1">
      <w:start w:val="1"/>
      <w:numFmt w:val="bullet"/>
      <w:lvlText w:val=""/>
      <w:lvlJc w:val="left"/>
      <w:pPr>
        <w:tabs>
          <w:tab w:val="num" w:pos="4320"/>
        </w:tabs>
        <w:ind w:left="4320" w:hanging="360"/>
      </w:pPr>
      <w:rPr>
        <w:rFonts w:ascii="Wingdings" w:hAnsi="Wingdings" w:hint="default"/>
      </w:rPr>
    </w:lvl>
    <w:lvl w:ilvl="6" w:tplc="D49844FE" w:tentative="1">
      <w:start w:val="1"/>
      <w:numFmt w:val="bullet"/>
      <w:lvlText w:val=""/>
      <w:lvlJc w:val="left"/>
      <w:pPr>
        <w:tabs>
          <w:tab w:val="num" w:pos="5040"/>
        </w:tabs>
        <w:ind w:left="5040" w:hanging="360"/>
      </w:pPr>
      <w:rPr>
        <w:rFonts w:ascii="Wingdings" w:hAnsi="Wingdings" w:hint="default"/>
      </w:rPr>
    </w:lvl>
    <w:lvl w:ilvl="7" w:tplc="2222B3BA" w:tentative="1">
      <w:start w:val="1"/>
      <w:numFmt w:val="bullet"/>
      <w:lvlText w:val=""/>
      <w:lvlJc w:val="left"/>
      <w:pPr>
        <w:tabs>
          <w:tab w:val="num" w:pos="5760"/>
        </w:tabs>
        <w:ind w:left="5760" w:hanging="360"/>
      </w:pPr>
      <w:rPr>
        <w:rFonts w:ascii="Wingdings" w:hAnsi="Wingdings" w:hint="default"/>
      </w:rPr>
    </w:lvl>
    <w:lvl w:ilvl="8" w:tplc="879C0908" w:tentative="1">
      <w:start w:val="1"/>
      <w:numFmt w:val="bullet"/>
      <w:lvlText w:val=""/>
      <w:lvlJc w:val="left"/>
      <w:pPr>
        <w:tabs>
          <w:tab w:val="num" w:pos="6480"/>
        </w:tabs>
        <w:ind w:left="6480" w:hanging="360"/>
      </w:pPr>
      <w:rPr>
        <w:rFonts w:ascii="Wingdings" w:hAnsi="Wingdings" w:hint="default"/>
      </w:rPr>
    </w:lvl>
  </w:abstractNum>
  <w:abstractNum w:abstractNumId="4">
    <w:nsid w:val="367A1264"/>
    <w:multiLevelType w:val="hybridMultilevel"/>
    <w:tmpl w:val="7CBCA99E"/>
    <w:lvl w:ilvl="0" w:tplc="B5621950">
      <w:start w:val="1"/>
      <w:numFmt w:val="bullet"/>
      <w:lvlText w:val=""/>
      <w:lvlJc w:val="left"/>
      <w:pPr>
        <w:tabs>
          <w:tab w:val="num" w:pos="720"/>
        </w:tabs>
        <w:ind w:left="720" w:hanging="360"/>
      </w:pPr>
      <w:rPr>
        <w:rFonts w:ascii="Wingdings" w:hAnsi="Wingdings" w:hint="default"/>
      </w:rPr>
    </w:lvl>
    <w:lvl w:ilvl="1" w:tplc="621659BA">
      <w:start w:val="1064"/>
      <w:numFmt w:val="bullet"/>
      <w:lvlText w:val=""/>
      <w:lvlJc w:val="left"/>
      <w:pPr>
        <w:tabs>
          <w:tab w:val="num" w:pos="1440"/>
        </w:tabs>
        <w:ind w:left="1440" w:hanging="360"/>
      </w:pPr>
      <w:rPr>
        <w:rFonts w:ascii="Webdings" w:hAnsi="Webdings" w:hint="default"/>
      </w:rPr>
    </w:lvl>
    <w:lvl w:ilvl="2" w:tplc="9A88D8D6" w:tentative="1">
      <w:start w:val="1"/>
      <w:numFmt w:val="bullet"/>
      <w:lvlText w:val=""/>
      <w:lvlJc w:val="left"/>
      <w:pPr>
        <w:tabs>
          <w:tab w:val="num" w:pos="2160"/>
        </w:tabs>
        <w:ind w:left="2160" w:hanging="360"/>
      </w:pPr>
      <w:rPr>
        <w:rFonts w:ascii="Wingdings" w:hAnsi="Wingdings" w:hint="default"/>
      </w:rPr>
    </w:lvl>
    <w:lvl w:ilvl="3" w:tplc="29C86802" w:tentative="1">
      <w:start w:val="1"/>
      <w:numFmt w:val="bullet"/>
      <w:lvlText w:val=""/>
      <w:lvlJc w:val="left"/>
      <w:pPr>
        <w:tabs>
          <w:tab w:val="num" w:pos="2880"/>
        </w:tabs>
        <w:ind w:left="2880" w:hanging="360"/>
      </w:pPr>
      <w:rPr>
        <w:rFonts w:ascii="Wingdings" w:hAnsi="Wingdings" w:hint="default"/>
      </w:rPr>
    </w:lvl>
    <w:lvl w:ilvl="4" w:tplc="9558D7DA" w:tentative="1">
      <w:start w:val="1"/>
      <w:numFmt w:val="bullet"/>
      <w:lvlText w:val=""/>
      <w:lvlJc w:val="left"/>
      <w:pPr>
        <w:tabs>
          <w:tab w:val="num" w:pos="3600"/>
        </w:tabs>
        <w:ind w:left="3600" w:hanging="360"/>
      </w:pPr>
      <w:rPr>
        <w:rFonts w:ascii="Wingdings" w:hAnsi="Wingdings" w:hint="default"/>
      </w:rPr>
    </w:lvl>
    <w:lvl w:ilvl="5" w:tplc="52C6EF38" w:tentative="1">
      <w:start w:val="1"/>
      <w:numFmt w:val="bullet"/>
      <w:lvlText w:val=""/>
      <w:lvlJc w:val="left"/>
      <w:pPr>
        <w:tabs>
          <w:tab w:val="num" w:pos="4320"/>
        </w:tabs>
        <w:ind w:left="4320" w:hanging="360"/>
      </w:pPr>
      <w:rPr>
        <w:rFonts w:ascii="Wingdings" w:hAnsi="Wingdings" w:hint="default"/>
      </w:rPr>
    </w:lvl>
    <w:lvl w:ilvl="6" w:tplc="EEB08A4A" w:tentative="1">
      <w:start w:val="1"/>
      <w:numFmt w:val="bullet"/>
      <w:lvlText w:val=""/>
      <w:lvlJc w:val="left"/>
      <w:pPr>
        <w:tabs>
          <w:tab w:val="num" w:pos="5040"/>
        </w:tabs>
        <w:ind w:left="5040" w:hanging="360"/>
      </w:pPr>
      <w:rPr>
        <w:rFonts w:ascii="Wingdings" w:hAnsi="Wingdings" w:hint="default"/>
      </w:rPr>
    </w:lvl>
    <w:lvl w:ilvl="7" w:tplc="A91E77AC" w:tentative="1">
      <w:start w:val="1"/>
      <w:numFmt w:val="bullet"/>
      <w:lvlText w:val=""/>
      <w:lvlJc w:val="left"/>
      <w:pPr>
        <w:tabs>
          <w:tab w:val="num" w:pos="5760"/>
        </w:tabs>
        <w:ind w:left="5760" w:hanging="360"/>
      </w:pPr>
      <w:rPr>
        <w:rFonts w:ascii="Wingdings" w:hAnsi="Wingdings" w:hint="default"/>
      </w:rPr>
    </w:lvl>
    <w:lvl w:ilvl="8" w:tplc="7AAC7862" w:tentative="1">
      <w:start w:val="1"/>
      <w:numFmt w:val="bullet"/>
      <w:lvlText w:val=""/>
      <w:lvlJc w:val="left"/>
      <w:pPr>
        <w:tabs>
          <w:tab w:val="num" w:pos="6480"/>
        </w:tabs>
        <w:ind w:left="6480" w:hanging="360"/>
      </w:pPr>
      <w:rPr>
        <w:rFonts w:ascii="Wingdings" w:hAnsi="Wingdings" w:hint="default"/>
      </w:rPr>
    </w:lvl>
  </w:abstractNum>
  <w:abstractNum w:abstractNumId="5">
    <w:nsid w:val="42964532"/>
    <w:multiLevelType w:val="hybridMultilevel"/>
    <w:tmpl w:val="C4187A20"/>
    <w:lvl w:ilvl="0" w:tplc="98FED512">
      <w:start w:val="1"/>
      <w:numFmt w:val="bullet"/>
      <w:lvlText w:val=""/>
      <w:lvlJc w:val="left"/>
      <w:pPr>
        <w:tabs>
          <w:tab w:val="num" w:pos="720"/>
        </w:tabs>
        <w:ind w:left="720" w:hanging="360"/>
      </w:pPr>
      <w:rPr>
        <w:rFonts w:ascii="Wingdings" w:hAnsi="Wingdings" w:hint="default"/>
      </w:rPr>
    </w:lvl>
    <w:lvl w:ilvl="1" w:tplc="B23415AC">
      <w:start w:val="77"/>
      <w:numFmt w:val="bullet"/>
      <w:lvlText w:val=""/>
      <w:lvlJc w:val="left"/>
      <w:pPr>
        <w:tabs>
          <w:tab w:val="num" w:pos="1440"/>
        </w:tabs>
        <w:ind w:left="1440" w:hanging="360"/>
      </w:pPr>
      <w:rPr>
        <w:rFonts w:ascii="Webdings" w:hAnsi="Webdings" w:hint="default"/>
      </w:rPr>
    </w:lvl>
    <w:lvl w:ilvl="2" w:tplc="CCE4E328" w:tentative="1">
      <w:start w:val="1"/>
      <w:numFmt w:val="bullet"/>
      <w:lvlText w:val=""/>
      <w:lvlJc w:val="left"/>
      <w:pPr>
        <w:tabs>
          <w:tab w:val="num" w:pos="2160"/>
        </w:tabs>
        <w:ind w:left="2160" w:hanging="360"/>
      </w:pPr>
      <w:rPr>
        <w:rFonts w:ascii="Wingdings" w:hAnsi="Wingdings" w:hint="default"/>
      </w:rPr>
    </w:lvl>
    <w:lvl w:ilvl="3" w:tplc="0E541BB0" w:tentative="1">
      <w:start w:val="1"/>
      <w:numFmt w:val="bullet"/>
      <w:lvlText w:val=""/>
      <w:lvlJc w:val="left"/>
      <w:pPr>
        <w:tabs>
          <w:tab w:val="num" w:pos="2880"/>
        </w:tabs>
        <w:ind w:left="2880" w:hanging="360"/>
      </w:pPr>
      <w:rPr>
        <w:rFonts w:ascii="Wingdings" w:hAnsi="Wingdings" w:hint="default"/>
      </w:rPr>
    </w:lvl>
    <w:lvl w:ilvl="4" w:tplc="8800E57C" w:tentative="1">
      <w:start w:val="1"/>
      <w:numFmt w:val="bullet"/>
      <w:lvlText w:val=""/>
      <w:lvlJc w:val="left"/>
      <w:pPr>
        <w:tabs>
          <w:tab w:val="num" w:pos="3600"/>
        </w:tabs>
        <w:ind w:left="3600" w:hanging="360"/>
      </w:pPr>
      <w:rPr>
        <w:rFonts w:ascii="Wingdings" w:hAnsi="Wingdings" w:hint="default"/>
      </w:rPr>
    </w:lvl>
    <w:lvl w:ilvl="5" w:tplc="601A573A" w:tentative="1">
      <w:start w:val="1"/>
      <w:numFmt w:val="bullet"/>
      <w:lvlText w:val=""/>
      <w:lvlJc w:val="left"/>
      <w:pPr>
        <w:tabs>
          <w:tab w:val="num" w:pos="4320"/>
        </w:tabs>
        <w:ind w:left="4320" w:hanging="360"/>
      </w:pPr>
      <w:rPr>
        <w:rFonts w:ascii="Wingdings" w:hAnsi="Wingdings" w:hint="default"/>
      </w:rPr>
    </w:lvl>
    <w:lvl w:ilvl="6" w:tplc="D20EF9E6" w:tentative="1">
      <w:start w:val="1"/>
      <w:numFmt w:val="bullet"/>
      <w:lvlText w:val=""/>
      <w:lvlJc w:val="left"/>
      <w:pPr>
        <w:tabs>
          <w:tab w:val="num" w:pos="5040"/>
        </w:tabs>
        <w:ind w:left="5040" w:hanging="360"/>
      </w:pPr>
      <w:rPr>
        <w:rFonts w:ascii="Wingdings" w:hAnsi="Wingdings" w:hint="default"/>
      </w:rPr>
    </w:lvl>
    <w:lvl w:ilvl="7" w:tplc="A9AE0CA0" w:tentative="1">
      <w:start w:val="1"/>
      <w:numFmt w:val="bullet"/>
      <w:lvlText w:val=""/>
      <w:lvlJc w:val="left"/>
      <w:pPr>
        <w:tabs>
          <w:tab w:val="num" w:pos="5760"/>
        </w:tabs>
        <w:ind w:left="5760" w:hanging="360"/>
      </w:pPr>
      <w:rPr>
        <w:rFonts w:ascii="Wingdings" w:hAnsi="Wingdings" w:hint="default"/>
      </w:rPr>
    </w:lvl>
    <w:lvl w:ilvl="8" w:tplc="B1C099A6" w:tentative="1">
      <w:start w:val="1"/>
      <w:numFmt w:val="bullet"/>
      <w:lvlText w:val=""/>
      <w:lvlJc w:val="left"/>
      <w:pPr>
        <w:tabs>
          <w:tab w:val="num" w:pos="6480"/>
        </w:tabs>
        <w:ind w:left="6480" w:hanging="360"/>
      </w:pPr>
      <w:rPr>
        <w:rFonts w:ascii="Wingdings" w:hAnsi="Wingdings" w:hint="default"/>
      </w:rPr>
    </w:lvl>
  </w:abstractNum>
  <w:abstractNum w:abstractNumId="6">
    <w:nsid w:val="44F373BD"/>
    <w:multiLevelType w:val="hybridMultilevel"/>
    <w:tmpl w:val="624A4FCE"/>
    <w:lvl w:ilvl="0" w:tplc="B704C3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011FE2"/>
    <w:multiLevelType w:val="hybridMultilevel"/>
    <w:tmpl w:val="A25C2A58"/>
    <w:lvl w:ilvl="0" w:tplc="BC2A0FAA">
      <w:start w:val="1"/>
      <w:numFmt w:val="bullet"/>
      <w:lvlText w:val=""/>
      <w:lvlJc w:val="left"/>
      <w:pPr>
        <w:tabs>
          <w:tab w:val="num" w:pos="720"/>
        </w:tabs>
        <w:ind w:left="720" w:hanging="360"/>
      </w:pPr>
      <w:rPr>
        <w:rFonts w:ascii="Wingdings" w:hAnsi="Wingdings" w:hint="default"/>
      </w:rPr>
    </w:lvl>
    <w:lvl w:ilvl="1" w:tplc="2B66597E">
      <w:start w:val="1336"/>
      <w:numFmt w:val="bullet"/>
      <w:lvlText w:val=""/>
      <w:lvlJc w:val="left"/>
      <w:pPr>
        <w:tabs>
          <w:tab w:val="num" w:pos="1440"/>
        </w:tabs>
        <w:ind w:left="1440" w:hanging="360"/>
      </w:pPr>
      <w:rPr>
        <w:rFonts w:ascii="Webdings" w:hAnsi="Webdings" w:hint="default"/>
      </w:rPr>
    </w:lvl>
    <w:lvl w:ilvl="2" w:tplc="A7920D8E">
      <w:start w:val="1336"/>
      <w:numFmt w:val="bullet"/>
      <w:lvlText w:val="•"/>
      <w:lvlJc w:val="left"/>
      <w:pPr>
        <w:tabs>
          <w:tab w:val="num" w:pos="2160"/>
        </w:tabs>
        <w:ind w:left="2160" w:hanging="360"/>
      </w:pPr>
      <w:rPr>
        <w:rFonts w:ascii="Times New Roman" w:hAnsi="Times New Roman" w:hint="default"/>
      </w:rPr>
    </w:lvl>
    <w:lvl w:ilvl="3" w:tplc="4AE802C2" w:tentative="1">
      <w:start w:val="1"/>
      <w:numFmt w:val="bullet"/>
      <w:lvlText w:val=""/>
      <w:lvlJc w:val="left"/>
      <w:pPr>
        <w:tabs>
          <w:tab w:val="num" w:pos="2880"/>
        </w:tabs>
        <w:ind w:left="2880" w:hanging="360"/>
      </w:pPr>
      <w:rPr>
        <w:rFonts w:ascii="Wingdings" w:hAnsi="Wingdings" w:hint="default"/>
      </w:rPr>
    </w:lvl>
    <w:lvl w:ilvl="4" w:tplc="1F3E10A6" w:tentative="1">
      <w:start w:val="1"/>
      <w:numFmt w:val="bullet"/>
      <w:lvlText w:val=""/>
      <w:lvlJc w:val="left"/>
      <w:pPr>
        <w:tabs>
          <w:tab w:val="num" w:pos="3600"/>
        </w:tabs>
        <w:ind w:left="3600" w:hanging="360"/>
      </w:pPr>
      <w:rPr>
        <w:rFonts w:ascii="Wingdings" w:hAnsi="Wingdings" w:hint="default"/>
      </w:rPr>
    </w:lvl>
    <w:lvl w:ilvl="5" w:tplc="0930B900" w:tentative="1">
      <w:start w:val="1"/>
      <w:numFmt w:val="bullet"/>
      <w:lvlText w:val=""/>
      <w:lvlJc w:val="left"/>
      <w:pPr>
        <w:tabs>
          <w:tab w:val="num" w:pos="4320"/>
        </w:tabs>
        <w:ind w:left="4320" w:hanging="360"/>
      </w:pPr>
      <w:rPr>
        <w:rFonts w:ascii="Wingdings" w:hAnsi="Wingdings" w:hint="default"/>
      </w:rPr>
    </w:lvl>
    <w:lvl w:ilvl="6" w:tplc="DF3A6E8A" w:tentative="1">
      <w:start w:val="1"/>
      <w:numFmt w:val="bullet"/>
      <w:lvlText w:val=""/>
      <w:lvlJc w:val="left"/>
      <w:pPr>
        <w:tabs>
          <w:tab w:val="num" w:pos="5040"/>
        </w:tabs>
        <w:ind w:left="5040" w:hanging="360"/>
      </w:pPr>
      <w:rPr>
        <w:rFonts w:ascii="Wingdings" w:hAnsi="Wingdings" w:hint="default"/>
      </w:rPr>
    </w:lvl>
    <w:lvl w:ilvl="7" w:tplc="2736AFC2" w:tentative="1">
      <w:start w:val="1"/>
      <w:numFmt w:val="bullet"/>
      <w:lvlText w:val=""/>
      <w:lvlJc w:val="left"/>
      <w:pPr>
        <w:tabs>
          <w:tab w:val="num" w:pos="5760"/>
        </w:tabs>
        <w:ind w:left="5760" w:hanging="360"/>
      </w:pPr>
      <w:rPr>
        <w:rFonts w:ascii="Wingdings" w:hAnsi="Wingdings" w:hint="default"/>
      </w:rPr>
    </w:lvl>
    <w:lvl w:ilvl="8" w:tplc="599A0028" w:tentative="1">
      <w:start w:val="1"/>
      <w:numFmt w:val="bullet"/>
      <w:lvlText w:val=""/>
      <w:lvlJc w:val="left"/>
      <w:pPr>
        <w:tabs>
          <w:tab w:val="num" w:pos="6480"/>
        </w:tabs>
        <w:ind w:left="6480" w:hanging="360"/>
      </w:pPr>
      <w:rPr>
        <w:rFonts w:ascii="Wingdings" w:hAnsi="Wingdings" w:hint="default"/>
      </w:rPr>
    </w:lvl>
  </w:abstractNum>
  <w:abstractNum w:abstractNumId="8">
    <w:nsid w:val="63603368"/>
    <w:multiLevelType w:val="hybridMultilevel"/>
    <w:tmpl w:val="D906609E"/>
    <w:lvl w:ilvl="0" w:tplc="BAE2E1D2">
      <w:start w:val="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F172FC"/>
    <w:multiLevelType w:val="hybridMultilevel"/>
    <w:tmpl w:val="08422790"/>
    <w:lvl w:ilvl="0" w:tplc="8F3A44B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EC53CE"/>
    <w:multiLevelType w:val="hybridMultilevel"/>
    <w:tmpl w:val="78106C4A"/>
    <w:lvl w:ilvl="0" w:tplc="F4A02390">
      <w:start w:val="1"/>
      <w:numFmt w:val="bullet"/>
      <w:lvlText w:val=""/>
      <w:lvlJc w:val="left"/>
      <w:pPr>
        <w:tabs>
          <w:tab w:val="num" w:pos="720"/>
        </w:tabs>
        <w:ind w:left="720" w:hanging="360"/>
      </w:pPr>
      <w:rPr>
        <w:rFonts w:ascii="Wingdings" w:hAnsi="Wingdings" w:hint="default"/>
      </w:rPr>
    </w:lvl>
    <w:lvl w:ilvl="1" w:tplc="BFE8B1BC">
      <w:start w:val="2738"/>
      <w:numFmt w:val="bullet"/>
      <w:lvlText w:val=""/>
      <w:lvlJc w:val="left"/>
      <w:pPr>
        <w:tabs>
          <w:tab w:val="num" w:pos="1440"/>
        </w:tabs>
        <w:ind w:left="1440" w:hanging="360"/>
      </w:pPr>
      <w:rPr>
        <w:rFonts w:ascii="Webdings" w:hAnsi="Webdings" w:hint="default"/>
      </w:rPr>
    </w:lvl>
    <w:lvl w:ilvl="2" w:tplc="FA7AC1C2">
      <w:start w:val="2738"/>
      <w:numFmt w:val="bullet"/>
      <w:lvlText w:val="•"/>
      <w:lvlJc w:val="left"/>
      <w:pPr>
        <w:tabs>
          <w:tab w:val="num" w:pos="2160"/>
        </w:tabs>
        <w:ind w:left="2160" w:hanging="360"/>
      </w:pPr>
      <w:rPr>
        <w:rFonts w:ascii="Times New Roman" w:hAnsi="Times New Roman" w:hint="default"/>
      </w:rPr>
    </w:lvl>
    <w:lvl w:ilvl="3" w:tplc="D884BA30" w:tentative="1">
      <w:start w:val="1"/>
      <w:numFmt w:val="bullet"/>
      <w:lvlText w:val=""/>
      <w:lvlJc w:val="left"/>
      <w:pPr>
        <w:tabs>
          <w:tab w:val="num" w:pos="2880"/>
        </w:tabs>
        <w:ind w:left="2880" w:hanging="360"/>
      </w:pPr>
      <w:rPr>
        <w:rFonts w:ascii="Wingdings" w:hAnsi="Wingdings" w:hint="default"/>
      </w:rPr>
    </w:lvl>
    <w:lvl w:ilvl="4" w:tplc="58702C60" w:tentative="1">
      <w:start w:val="1"/>
      <w:numFmt w:val="bullet"/>
      <w:lvlText w:val=""/>
      <w:lvlJc w:val="left"/>
      <w:pPr>
        <w:tabs>
          <w:tab w:val="num" w:pos="3600"/>
        </w:tabs>
        <w:ind w:left="3600" w:hanging="360"/>
      </w:pPr>
      <w:rPr>
        <w:rFonts w:ascii="Wingdings" w:hAnsi="Wingdings" w:hint="default"/>
      </w:rPr>
    </w:lvl>
    <w:lvl w:ilvl="5" w:tplc="A790AC7A" w:tentative="1">
      <w:start w:val="1"/>
      <w:numFmt w:val="bullet"/>
      <w:lvlText w:val=""/>
      <w:lvlJc w:val="left"/>
      <w:pPr>
        <w:tabs>
          <w:tab w:val="num" w:pos="4320"/>
        </w:tabs>
        <w:ind w:left="4320" w:hanging="360"/>
      </w:pPr>
      <w:rPr>
        <w:rFonts w:ascii="Wingdings" w:hAnsi="Wingdings" w:hint="default"/>
      </w:rPr>
    </w:lvl>
    <w:lvl w:ilvl="6" w:tplc="6C0EE0D8" w:tentative="1">
      <w:start w:val="1"/>
      <w:numFmt w:val="bullet"/>
      <w:lvlText w:val=""/>
      <w:lvlJc w:val="left"/>
      <w:pPr>
        <w:tabs>
          <w:tab w:val="num" w:pos="5040"/>
        </w:tabs>
        <w:ind w:left="5040" w:hanging="360"/>
      </w:pPr>
      <w:rPr>
        <w:rFonts w:ascii="Wingdings" w:hAnsi="Wingdings" w:hint="default"/>
      </w:rPr>
    </w:lvl>
    <w:lvl w:ilvl="7" w:tplc="47BC57EC" w:tentative="1">
      <w:start w:val="1"/>
      <w:numFmt w:val="bullet"/>
      <w:lvlText w:val=""/>
      <w:lvlJc w:val="left"/>
      <w:pPr>
        <w:tabs>
          <w:tab w:val="num" w:pos="5760"/>
        </w:tabs>
        <w:ind w:left="5760" w:hanging="360"/>
      </w:pPr>
      <w:rPr>
        <w:rFonts w:ascii="Wingdings" w:hAnsi="Wingdings" w:hint="default"/>
      </w:rPr>
    </w:lvl>
    <w:lvl w:ilvl="8" w:tplc="89D8B764" w:tentative="1">
      <w:start w:val="1"/>
      <w:numFmt w:val="bullet"/>
      <w:lvlText w:val=""/>
      <w:lvlJc w:val="left"/>
      <w:pPr>
        <w:tabs>
          <w:tab w:val="num" w:pos="6480"/>
        </w:tabs>
        <w:ind w:left="6480" w:hanging="360"/>
      </w:pPr>
      <w:rPr>
        <w:rFonts w:ascii="Wingdings" w:hAnsi="Wingdings" w:hint="default"/>
      </w:rPr>
    </w:lvl>
  </w:abstractNum>
  <w:abstractNum w:abstractNumId="11">
    <w:nsid w:val="67F7343F"/>
    <w:multiLevelType w:val="hybridMultilevel"/>
    <w:tmpl w:val="481481B4"/>
    <w:lvl w:ilvl="0" w:tplc="3A22723E">
      <w:start w:val="1"/>
      <w:numFmt w:val="bullet"/>
      <w:lvlText w:val=""/>
      <w:lvlJc w:val="left"/>
      <w:pPr>
        <w:tabs>
          <w:tab w:val="num" w:pos="720"/>
        </w:tabs>
        <w:ind w:left="720" w:hanging="360"/>
      </w:pPr>
      <w:rPr>
        <w:rFonts w:ascii="Wingdings" w:hAnsi="Wingdings" w:hint="default"/>
      </w:rPr>
    </w:lvl>
    <w:lvl w:ilvl="1" w:tplc="29C28210">
      <w:start w:val="1366"/>
      <w:numFmt w:val="bullet"/>
      <w:lvlText w:val=""/>
      <w:lvlJc w:val="left"/>
      <w:pPr>
        <w:tabs>
          <w:tab w:val="num" w:pos="1440"/>
        </w:tabs>
        <w:ind w:left="1440" w:hanging="360"/>
      </w:pPr>
      <w:rPr>
        <w:rFonts w:ascii="Webdings" w:hAnsi="Webdings" w:hint="default"/>
      </w:rPr>
    </w:lvl>
    <w:lvl w:ilvl="2" w:tplc="0194E4B4" w:tentative="1">
      <w:start w:val="1"/>
      <w:numFmt w:val="bullet"/>
      <w:lvlText w:val=""/>
      <w:lvlJc w:val="left"/>
      <w:pPr>
        <w:tabs>
          <w:tab w:val="num" w:pos="2160"/>
        </w:tabs>
        <w:ind w:left="2160" w:hanging="360"/>
      </w:pPr>
      <w:rPr>
        <w:rFonts w:ascii="Wingdings" w:hAnsi="Wingdings" w:hint="default"/>
      </w:rPr>
    </w:lvl>
    <w:lvl w:ilvl="3" w:tplc="7DC20F50" w:tentative="1">
      <w:start w:val="1"/>
      <w:numFmt w:val="bullet"/>
      <w:lvlText w:val=""/>
      <w:lvlJc w:val="left"/>
      <w:pPr>
        <w:tabs>
          <w:tab w:val="num" w:pos="2880"/>
        </w:tabs>
        <w:ind w:left="2880" w:hanging="360"/>
      </w:pPr>
      <w:rPr>
        <w:rFonts w:ascii="Wingdings" w:hAnsi="Wingdings" w:hint="default"/>
      </w:rPr>
    </w:lvl>
    <w:lvl w:ilvl="4" w:tplc="E72E850A" w:tentative="1">
      <w:start w:val="1"/>
      <w:numFmt w:val="bullet"/>
      <w:lvlText w:val=""/>
      <w:lvlJc w:val="left"/>
      <w:pPr>
        <w:tabs>
          <w:tab w:val="num" w:pos="3600"/>
        </w:tabs>
        <w:ind w:left="3600" w:hanging="360"/>
      </w:pPr>
      <w:rPr>
        <w:rFonts w:ascii="Wingdings" w:hAnsi="Wingdings" w:hint="default"/>
      </w:rPr>
    </w:lvl>
    <w:lvl w:ilvl="5" w:tplc="380C7AB0" w:tentative="1">
      <w:start w:val="1"/>
      <w:numFmt w:val="bullet"/>
      <w:lvlText w:val=""/>
      <w:lvlJc w:val="left"/>
      <w:pPr>
        <w:tabs>
          <w:tab w:val="num" w:pos="4320"/>
        </w:tabs>
        <w:ind w:left="4320" w:hanging="360"/>
      </w:pPr>
      <w:rPr>
        <w:rFonts w:ascii="Wingdings" w:hAnsi="Wingdings" w:hint="default"/>
      </w:rPr>
    </w:lvl>
    <w:lvl w:ilvl="6" w:tplc="1A5221EA" w:tentative="1">
      <w:start w:val="1"/>
      <w:numFmt w:val="bullet"/>
      <w:lvlText w:val=""/>
      <w:lvlJc w:val="left"/>
      <w:pPr>
        <w:tabs>
          <w:tab w:val="num" w:pos="5040"/>
        </w:tabs>
        <w:ind w:left="5040" w:hanging="360"/>
      </w:pPr>
      <w:rPr>
        <w:rFonts w:ascii="Wingdings" w:hAnsi="Wingdings" w:hint="default"/>
      </w:rPr>
    </w:lvl>
    <w:lvl w:ilvl="7" w:tplc="92DEC00A" w:tentative="1">
      <w:start w:val="1"/>
      <w:numFmt w:val="bullet"/>
      <w:lvlText w:val=""/>
      <w:lvlJc w:val="left"/>
      <w:pPr>
        <w:tabs>
          <w:tab w:val="num" w:pos="5760"/>
        </w:tabs>
        <w:ind w:left="5760" w:hanging="360"/>
      </w:pPr>
      <w:rPr>
        <w:rFonts w:ascii="Wingdings" w:hAnsi="Wingdings" w:hint="default"/>
      </w:rPr>
    </w:lvl>
    <w:lvl w:ilvl="8" w:tplc="D72E9332" w:tentative="1">
      <w:start w:val="1"/>
      <w:numFmt w:val="bullet"/>
      <w:lvlText w:val=""/>
      <w:lvlJc w:val="left"/>
      <w:pPr>
        <w:tabs>
          <w:tab w:val="num" w:pos="6480"/>
        </w:tabs>
        <w:ind w:left="6480" w:hanging="360"/>
      </w:pPr>
      <w:rPr>
        <w:rFonts w:ascii="Wingdings" w:hAnsi="Wingdings" w:hint="default"/>
      </w:rPr>
    </w:lvl>
  </w:abstractNum>
  <w:abstractNum w:abstractNumId="12">
    <w:nsid w:val="68A833D7"/>
    <w:multiLevelType w:val="hybridMultilevel"/>
    <w:tmpl w:val="DF507A02"/>
    <w:lvl w:ilvl="0" w:tplc="14C4F690">
      <w:start w:val="1"/>
      <w:numFmt w:val="bullet"/>
      <w:lvlText w:val=""/>
      <w:lvlJc w:val="left"/>
      <w:pPr>
        <w:tabs>
          <w:tab w:val="num" w:pos="720"/>
        </w:tabs>
        <w:ind w:left="720" w:hanging="360"/>
      </w:pPr>
      <w:rPr>
        <w:rFonts w:ascii="Wingdings" w:hAnsi="Wingdings" w:hint="default"/>
      </w:rPr>
    </w:lvl>
    <w:lvl w:ilvl="1" w:tplc="A7AE2F92">
      <w:start w:val="2928"/>
      <w:numFmt w:val="bullet"/>
      <w:lvlText w:val=""/>
      <w:lvlJc w:val="left"/>
      <w:pPr>
        <w:tabs>
          <w:tab w:val="num" w:pos="1440"/>
        </w:tabs>
        <w:ind w:left="1440" w:hanging="360"/>
      </w:pPr>
      <w:rPr>
        <w:rFonts w:ascii="Webdings" w:hAnsi="Webdings" w:hint="default"/>
      </w:rPr>
    </w:lvl>
    <w:lvl w:ilvl="2" w:tplc="68C4AC48" w:tentative="1">
      <w:start w:val="1"/>
      <w:numFmt w:val="bullet"/>
      <w:lvlText w:val=""/>
      <w:lvlJc w:val="left"/>
      <w:pPr>
        <w:tabs>
          <w:tab w:val="num" w:pos="2160"/>
        </w:tabs>
        <w:ind w:left="2160" w:hanging="360"/>
      </w:pPr>
      <w:rPr>
        <w:rFonts w:ascii="Wingdings" w:hAnsi="Wingdings" w:hint="default"/>
      </w:rPr>
    </w:lvl>
    <w:lvl w:ilvl="3" w:tplc="E654C540" w:tentative="1">
      <w:start w:val="1"/>
      <w:numFmt w:val="bullet"/>
      <w:lvlText w:val=""/>
      <w:lvlJc w:val="left"/>
      <w:pPr>
        <w:tabs>
          <w:tab w:val="num" w:pos="2880"/>
        </w:tabs>
        <w:ind w:left="2880" w:hanging="360"/>
      </w:pPr>
      <w:rPr>
        <w:rFonts w:ascii="Wingdings" w:hAnsi="Wingdings" w:hint="default"/>
      </w:rPr>
    </w:lvl>
    <w:lvl w:ilvl="4" w:tplc="BE4ABA26" w:tentative="1">
      <w:start w:val="1"/>
      <w:numFmt w:val="bullet"/>
      <w:lvlText w:val=""/>
      <w:lvlJc w:val="left"/>
      <w:pPr>
        <w:tabs>
          <w:tab w:val="num" w:pos="3600"/>
        </w:tabs>
        <w:ind w:left="3600" w:hanging="360"/>
      </w:pPr>
      <w:rPr>
        <w:rFonts w:ascii="Wingdings" w:hAnsi="Wingdings" w:hint="default"/>
      </w:rPr>
    </w:lvl>
    <w:lvl w:ilvl="5" w:tplc="F2507DE8" w:tentative="1">
      <w:start w:val="1"/>
      <w:numFmt w:val="bullet"/>
      <w:lvlText w:val=""/>
      <w:lvlJc w:val="left"/>
      <w:pPr>
        <w:tabs>
          <w:tab w:val="num" w:pos="4320"/>
        </w:tabs>
        <w:ind w:left="4320" w:hanging="360"/>
      </w:pPr>
      <w:rPr>
        <w:rFonts w:ascii="Wingdings" w:hAnsi="Wingdings" w:hint="default"/>
      </w:rPr>
    </w:lvl>
    <w:lvl w:ilvl="6" w:tplc="94FE739C" w:tentative="1">
      <w:start w:val="1"/>
      <w:numFmt w:val="bullet"/>
      <w:lvlText w:val=""/>
      <w:lvlJc w:val="left"/>
      <w:pPr>
        <w:tabs>
          <w:tab w:val="num" w:pos="5040"/>
        </w:tabs>
        <w:ind w:left="5040" w:hanging="360"/>
      </w:pPr>
      <w:rPr>
        <w:rFonts w:ascii="Wingdings" w:hAnsi="Wingdings" w:hint="default"/>
      </w:rPr>
    </w:lvl>
    <w:lvl w:ilvl="7" w:tplc="B7EEAC52" w:tentative="1">
      <w:start w:val="1"/>
      <w:numFmt w:val="bullet"/>
      <w:lvlText w:val=""/>
      <w:lvlJc w:val="left"/>
      <w:pPr>
        <w:tabs>
          <w:tab w:val="num" w:pos="5760"/>
        </w:tabs>
        <w:ind w:left="5760" w:hanging="360"/>
      </w:pPr>
      <w:rPr>
        <w:rFonts w:ascii="Wingdings" w:hAnsi="Wingdings" w:hint="default"/>
      </w:rPr>
    </w:lvl>
    <w:lvl w:ilvl="8" w:tplc="73945F2C" w:tentative="1">
      <w:start w:val="1"/>
      <w:numFmt w:val="bullet"/>
      <w:lvlText w:val=""/>
      <w:lvlJc w:val="left"/>
      <w:pPr>
        <w:tabs>
          <w:tab w:val="num" w:pos="6480"/>
        </w:tabs>
        <w:ind w:left="6480" w:hanging="360"/>
      </w:pPr>
      <w:rPr>
        <w:rFonts w:ascii="Wingdings" w:hAnsi="Wingdings" w:hint="default"/>
      </w:rPr>
    </w:lvl>
  </w:abstractNum>
  <w:abstractNum w:abstractNumId="13">
    <w:nsid w:val="6BB54337"/>
    <w:multiLevelType w:val="hybridMultilevel"/>
    <w:tmpl w:val="A192DFF6"/>
    <w:lvl w:ilvl="0" w:tplc="84AAEE9A">
      <w:start w:val="1"/>
      <w:numFmt w:val="bullet"/>
      <w:lvlText w:val=""/>
      <w:lvlJc w:val="left"/>
      <w:pPr>
        <w:tabs>
          <w:tab w:val="num" w:pos="720"/>
        </w:tabs>
        <w:ind w:left="720" w:hanging="360"/>
      </w:pPr>
      <w:rPr>
        <w:rFonts w:ascii="Wingdings" w:hAnsi="Wingdings" w:hint="default"/>
      </w:rPr>
    </w:lvl>
    <w:lvl w:ilvl="1" w:tplc="347CE0BA">
      <w:start w:val="1969"/>
      <w:numFmt w:val="bullet"/>
      <w:lvlText w:val=""/>
      <w:lvlJc w:val="left"/>
      <w:pPr>
        <w:tabs>
          <w:tab w:val="num" w:pos="1440"/>
        </w:tabs>
        <w:ind w:left="1440" w:hanging="360"/>
      </w:pPr>
      <w:rPr>
        <w:rFonts w:ascii="Webdings" w:hAnsi="Webdings" w:hint="default"/>
      </w:rPr>
    </w:lvl>
    <w:lvl w:ilvl="2" w:tplc="CCFED414">
      <w:start w:val="1969"/>
      <w:numFmt w:val="bullet"/>
      <w:lvlText w:val="•"/>
      <w:lvlJc w:val="left"/>
      <w:pPr>
        <w:tabs>
          <w:tab w:val="num" w:pos="2160"/>
        </w:tabs>
        <w:ind w:left="2160" w:hanging="360"/>
      </w:pPr>
      <w:rPr>
        <w:rFonts w:ascii="Times New Roman" w:hAnsi="Times New Roman" w:hint="default"/>
      </w:rPr>
    </w:lvl>
    <w:lvl w:ilvl="3" w:tplc="97CCE4A0" w:tentative="1">
      <w:start w:val="1"/>
      <w:numFmt w:val="bullet"/>
      <w:lvlText w:val=""/>
      <w:lvlJc w:val="left"/>
      <w:pPr>
        <w:tabs>
          <w:tab w:val="num" w:pos="2880"/>
        </w:tabs>
        <w:ind w:left="2880" w:hanging="360"/>
      </w:pPr>
      <w:rPr>
        <w:rFonts w:ascii="Wingdings" w:hAnsi="Wingdings" w:hint="default"/>
      </w:rPr>
    </w:lvl>
    <w:lvl w:ilvl="4" w:tplc="5D481DB2" w:tentative="1">
      <w:start w:val="1"/>
      <w:numFmt w:val="bullet"/>
      <w:lvlText w:val=""/>
      <w:lvlJc w:val="left"/>
      <w:pPr>
        <w:tabs>
          <w:tab w:val="num" w:pos="3600"/>
        </w:tabs>
        <w:ind w:left="3600" w:hanging="360"/>
      </w:pPr>
      <w:rPr>
        <w:rFonts w:ascii="Wingdings" w:hAnsi="Wingdings" w:hint="default"/>
      </w:rPr>
    </w:lvl>
    <w:lvl w:ilvl="5" w:tplc="B600BE62" w:tentative="1">
      <w:start w:val="1"/>
      <w:numFmt w:val="bullet"/>
      <w:lvlText w:val=""/>
      <w:lvlJc w:val="left"/>
      <w:pPr>
        <w:tabs>
          <w:tab w:val="num" w:pos="4320"/>
        </w:tabs>
        <w:ind w:left="4320" w:hanging="360"/>
      </w:pPr>
      <w:rPr>
        <w:rFonts w:ascii="Wingdings" w:hAnsi="Wingdings" w:hint="default"/>
      </w:rPr>
    </w:lvl>
    <w:lvl w:ilvl="6" w:tplc="5A222216" w:tentative="1">
      <w:start w:val="1"/>
      <w:numFmt w:val="bullet"/>
      <w:lvlText w:val=""/>
      <w:lvlJc w:val="left"/>
      <w:pPr>
        <w:tabs>
          <w:tab w:val="num" w:pos="5040"/>
        </w:tabs>
        <w:ind w:left="5040" w:hanging="360"/>
      </w:pPr>
      <w:rPr>
        <w:rFonts w:ascii="Wingdings" w:hAnsi="Wingdings" w:hint="default"/>
      </w:rPr>
    </w:lvl>
    <w:lvl w:ilvl="7" w:tplc="F224E1C6" w:tentative="1">
      <w:start w:val="1"/>
      <w:numFmt w:val="bullet"/>
      <w:lvlText w:val=""/>
      <w:lvlJc w:val="left"/>
      <w:pPr>
        <w:tabs>
          <w:tab w:val="num" w:pos="5760"/>
        </w:tabs>
        <w:ind w:left="5760" w:hanging="360"/>
      </w:pPr>
      <w:rPr>
        <w:rFonts w:ascii="Wingdings" w:hAnsi="Wingdings" w:hint="default"/>
      </w:rPr>
    </w:lvl>
    <w:lvl w:ilvl="8" w:tplc="E3C497F4" w:tentative="1">
      <w:start w:val="1"/>
      <w:numFmt w:val="bullet"/>
      <w:lvlText w:val=""/>
      <w:lvlJc w:val="left"/>
      <w:pPr>
        <w:tabs>
          <w:tab w:val="num" w:pos="6480"/>
        </w:tabs>
        <w:ind w:left="6480" w:hanging="360"/>
      </w:pPr>
      <w:rPr>
        <w:rFonts w:ascii="Wingdings" w:hAnsi="Wingdings" w:hint="default"/>
      </w:rPr>
    </w:lvl>
  </w:abstractNum>
  <w:abstractNum w:abstractNumId="14">
    <w:nsid w:val="735430EB"/>
    <w:multiLevelType w:val="hybridMultilevel"/>
    <w:tmpl w:val="AA56531E"/>
    <w:lvl w:ilvl="0" w:tplc="F82442AE">
      <w:start w:val="1"/>
      <w:numFmt w:val="bullet"/>
      <w:lvlText w:val=""/>
      <w:lvlJc w:val="left"/>
      <w:pPr>
        <w:tabs>
          <w:tab w:val="num" w:pos="720"/>
        </w:tabs>
        <w:ind w:left="720" w:hanging="360"/>
      </w:pPr>
      <w:rPr>
        <w:rFonts w:ascii="Wingdings" w:hAnsi="Wingdings" w:hint="default"/>
      </w:rPr>
    </w:lvl>
    <w:lvl w:ilvl="1" w:tplc="714E5CA0">
      <w:start w:val="1336"/>
      <w:numFmt w:val="bullet"/>
      <w:lvlText w:val=""/>
      <w:lvlJc w:val="left"/>
      <w:pPr>
        <w:tabs>
          <w:tab w:val="num" w:pos="1440"/>
        </w:tabs>
        <w:ind w:left="1440" w:hanging="360"/>
      </w:pPr>
      <w:rPr>
        <w:rFonts w:ascii="Webdings" w:hAnsi="Webdings" w:hint="default"/>
      </w:rPr>
    </w:lvl>
    <w:lvl w:ilvl="2" w:tplc="00E46E28" w:tentative="1">
      <w:start w:val="1"/>
      <w:numFmt w:val="bullet"/>
      <w:lvlText w:val=""/>
      <w:lvlJc w:val="left"/>
      <w:pPr>
        <w:tabs>
          <w:tab w:val="num" w:pos="2160"/>
        </w:tabs>
        <w:ind w:left="2160" w:hanging="360"/>
      </w:pPr>
      <w:rPr>
        <w:rFonts w:ascii="Wingdings" w:hAnsi="Wingdings" w:hint="default"/>
      </w:rPr>
    </w:lvl>
    <w:lvl w:ilvl="3" w:tplc="59DCC192" w:tentative="1">
      <w:start w:val="1"/>
      <w:numFmt w:val="bullet"/>
      <w:lvlText w:val=""/>
      <w:lvlJc w:val="left"/>
      <w:pPr>
        <w:tabs>
          <w:tab w:val="num" w:pos="2880"/>
        </w:tabs>
        <w:ind w:left="2880" w:hanging="360"/>
      </w:pPr>
      <w:rPr>
        <w:rFonts w:ascii="Wingdings" w:hAnsi="Wingdings" w:hint="default"/>
      </w:rPr>
    </w:lvl>
    <w:lvl w:ilvl="4" w:tplc="89342FEC" w:tentative="1">
      <w:start w:val="1"/>
      <w:numFmt w:val="bullet"/>
      <w:lvlText w:val=""/>
      <w:lvlJc w:val="left"/>
      <w:pPr>
        <w:tabs>
          <w:tab w:val="num" w:pos="3600"/>
        </w:tabs>
        <w:ind w:left="3600" w:hanging="360"/>
      </w:pPr>
      <w:rPr>
        <w:rFonts w:ascii="Wingdings" w:hAnsi="Wingdings" w:hint="default"/>
      </w:rPr>
    </w:lvl>
    <w:lvl w:ilvl="5" w:tplc="B78C0946" w:tentative="1">
      <w:start w:val="1"/>
      <w:numFmt w:val="bullet"/>
      <w:lvlText w:val=""/>
      <w:lvlJc w:val="left"/>
      <w:pPr>
        <w:tabs>
          <w:tab w:val="num" w:pos="4320"/>
        </w:tabs>
        <w:ind w:left="4320" w:hanging="360"/>
      </w:pPr>
      <w:rPr>
        <w:rFonts w:ascii="Wingdings" w:hAnsi="Wingdings" w:hint="default"/>
      </w:rPr>
    </w:lvl>
    <w:lvl w:ilvl="6" w:tplc="4412F2FA" w:tentative="1">
      <w:start w:val="1"/>
      <w:numFmt w:val="bullet"/>
      <w:lvlText w:val=""/>
      <w:lvlJc w:val="left"/>
      <w:pPr>
        <w:tabs>
          <w:tab w:val="num" w:pos="5040"/>
        </w:tabs>
        <w:ind w:left="5040" w:hanging="360"/>
      </w:pPr>
      <w:rPr>
        <w:rFonts w:ascii="Wingdings" w:hAnsi="Wingdings" w:hint="default"/>
      </w:rPr>
    </w:lvl>
    <w:lvl w:ilvl="7" w:tplc="EEE6B624" w:tentative="1">
      <w:start w:val="1"/>
      <w:numFmt w:val="bullet"/>
      <w:lvlText w:val=""/>
      <w:lvlJc w:val="left"/>
      <w:pPr>
        <w:tabs>
          <w:tab w:val="num" w:pos="5760"/>
        </w:tabs>
        <w:ind w:left="5760" w:hanging="360"/>
      </w:pPr>
      <w:rPr>
        <w:rFonts w:ascii="Wingdings" w:hAnsi="Wingdings" w:hint="default"/>
      </w:rPr>
    </w:lvl>
    <w:lvl w:ilvl="8" w:tplc="F36C3D62" w:tentative="1">
      <w:start w:val="1"/>
      <w:numFmt w:val="bullet"/>
      <w:lvlText w:val=""/>
      <w:lvlJc w:val="left"/>
      <w:pPr>
        <w:tabs>
          <w:tab w:val="num" w:pos="6480"/>
        </w:tabs>
        <w:ind w:left="6480" w:hanging="360"/>
      </w:pPr>
      <w:rPr>
        <w:rFonts w:ascii="Wingdings" w:hAnsi="Wingdings" w:hint="default"/>
      </w:rPr>
    </w:lvl>
  </w:abstractNum>
  <w:abstractNum w:abstractNumId="15">
    <w:nsid w:val="7D5B62EF"/>
    <w:multiLevelType w:val="hybridMultilevel"/>
    <w:tmpl w:val="57524E42"/>
    <w:lvl w:ilvl="0" w:tplc="8F1ED796">
      <w:start w:val="1"/>
      <w:numFmt w:val="bullet"/>
      <w:lvlText w:val=""/>
      <w:lvlJc w:val="left"/>
      <w:pPr>
        <w:tabs>
          <w:tab w:val="num" w:pos="720"/>
        </w:tabs>
        <w:ind w:left="720" w:hanging="360"/>
      </w:pPr>
      <w:rPr>
        <w:rFonts w:ascii="Wingdings" w:hAnsi="Wingdings" w:hint="default"/>
      </w:rPr>
    </w:lvl>
    <w:lvl w:ilvl="1" w:tplc="37FC424A">
      <w:start w:val="1064"/>
      <w:numFmt w:val="bullet"/>
      <w:lvlText w:val=""/>
      <w:lvlJc w:val="left"/>
      <w:pPr>
        <w:tabs>
          <w:tab w:val="num" w:pos="1440"/>
        </w:tabs>
        <w:ind w:left="1440" w:hanging="360"/>
      </w:pPr>
      <w:rPr>
        <w:rFonts w:ascii="Webdings" w:hAnsi="Webdings" w:hint="default"/>
      </w:rPr>
    </w:lvl>
    <w:lvl w:ilvl="2" w:tplc="6640FF40" w:tentative="1">
      <w:start w:val="1"/>
      <w:numFmt w:val="bullet"/>
      <w:lvlText w:val=""/>
      <w:lvlJc w:val="left"/>
      <w:pPr>
        <w:tabs>
          <w:tab w:val="num" w:pos="2160"/>
        </w:tabs>
        <w:ind w:left="2160" w:hanging="360"/>
      </w:pPr>
      <w:rPr>
        <w:rFonts w:ascii="Wingdings" w:hAnsi="Wingdings" w:hint="default"/>
      </w:rPr>
    </w:lvl>
    <w:lvl w:ilvl="3" w:tplc="E33044A6" w:tentative="1">
      <w:start w:val="1"/>
      <w:numFmt w:val="bullet"/>
      <w:lvlText w:val=""/>
      <w:lvlJc w:val="left"/>
      <w:pPr>
        <w:tabs>
          <w:tab w:val="num" w:pos="2880"/>
        </w:tabs>
        <w:ind w:left="2880" w:hanging="360"/>
      </w:pPr>
      <w:rPr>
        <w:rFonts w:ascii="Wingdings" w:hAnsi="Wingdings" w:hint="default"/>
      </w:rPr>
    </w:lvl>
    <w:lvl w:ilvl="4" w:tplc="06AE9D8C" w:tentative="1">
      <w:start w:val="1"/>
      <w:numFmt w:val="bullet"/>
      <w:lvlText w:val=""/>
      <w:lvlJc w:val="left"/>
      <w:pPr>
        <w:tabs>
          <w:tab w:val="num" w:pos="3600"/>
        </w:tabs>
        <w:ind w:left="3600" w:hanging="360"/>
      </w:pPr>
      <w:rPr>
        <w:rFonts w:ascii="Wingdings" w:hAnsi="Wingdings" w:hint="default"/>
      </w:rPr>
    </w:lvl>
    <w:lvl w:ilvl="5" w:tplc="95EE3344" w:tentative="1">
      <w:start w:val="1"/>
      <w:numFmt w:val="bullet"/>
      <w:lvlText w:val=""/>
      <w:lvlJc w:val="left"/>
      <w:pPr>
        <w:tabs>
          <w:tab w:val="num" w:pos="4320"/>
        </w:tabs>
        <w:ind w:left="4320" w:hanging="360"/>
      </w:pPr>
      <w:rPr>
        <w:rFonts w:ascii="Wingdings" w:hAnsi="Wingdings" w:hint="default"/>
      </w:rPr>
    </w:lvl>
    <w:lvl w:ilvl="6" w:tplc="06F64C30" w:tentative="1">
      <w:start w:val="1"/>
      <w:numFmt w:val="bullet"/>
      <w:lvlText w:val=""/>
      <w:lvlJc w:val="left"/>
      <w:pPr>
        <w:tabs>
          <w:tab w:val="num" w:pos="5040"/>
        </w:tabs>
        <w:ind w:left="5040" w:hanging="360"/>
      </w:pPr>
      <w:rPr>
        <w:rFonts w:ascii="Wingdings" w:hAnsi="Wingdings" w:hint="default"/>
      </w:rPr>
    </w:lvl>
    <w:lvl w:ilvl="7" w:tplc="36B08268" w:tentative="1">
      <w:start w:val="1"/>
      <w:numFmt w:val="bullet"/>
      <w:lvlText w:val=""/>
      <w:lvlJc w:val="left"/>
      <w:pPr>
        <w:tabs>
          <w:tab w:val="num" w:pos="5760"/>
        </w:tabs>
        <w:ind w:left="5760" w:hanging="360"/>
      </w:pPr>
      <w:rPr>
        <w:rFonts w:ascii="Wingdings" w:hAnsi="Wingdings" w:hint="default"/>
      </w:rPr>
    </w:lvl>
    <w:lvl w:ilvl="8" w:tplc="799CD2C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0"/>
  </w:num>
  <w:num w:numId="4">
    <w:abstractNumId w:val="12"/>
  </w:num>
  <w:num w:numId="5">
    <w:abstractNumId w:val="15"/>
  </w:num>
  <w:num w:numId="6">
    <w:abstractNumId w:val="14"/>
  </w:num>
  <w:num w:numId="7">
    <w:abstractNumId w:val="4"/>
  </w:num>
  <w:num w:numId="8">
    <w:abstractNumId w:val="5"/>
  </w:num>
  <w:num w:numId="9">
    <w:abstractNumId w:val="1"/>
  </w:num>
  <w:num w:numId="10">
    <w:abstractNumId w:val="2"/>
  </w:num>
  <w:num w:numId="11">
    <w:abstractNumId w:val="13"/>
  </w:num>
  <w:num w:numId="12">
    <w:abstractNumId w:val="10"/>
  </w:num>
  <w:num w:numId="13">
    <w:abstractNumId w:val="3"/>
  </w:num>
  <w:num w:numId="14">
    <w:abstractNumId w:val="7"/>
  </w:num>
  <w:num w:numId="15">
    <w:abstractNumId w:val="1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A90D8A"/>
    <w:rsid w:val="00002F5D"/>
    <w:rsid w:val="00004258"/>
    <w:rsid w:val="0005483B"/>
    <w:rsid w:val="0005615F"/>
    <w:rsid w:val="0005658E"/>
    <w:rsid w:val="001170A0"/>
    <w:rsid w:val="00137544"/>
    <w:rsid w:val="00145ECF"/>
    <w:rsid w:val="00152A61"/>
    <w:rsid w:val="00153B64"/>
    <w:rsid w:val="0016659A"/>
    <w:rsid w:val="00176A77"/>
    <w:rsid w:val="00180E87"/>
    <w:rsid w:val="001946F1"/>
    <w:rsid w:val="001A57A0"/>
    <w:rsid w:val="001B34F8"/>
    <w:rsid w:val="00210E69"/>
    <w:rsid w:val="002300AF"/>
    <w:rsid w:val="002415C4"/>
    <w:rsid w:val="00243A10"/>
    <w:rsid w:val="00246C03"/>
    <w:rsid w:val="00250443"/>
    <w:rsid w:val="00252290"/>
    <w:rsid w:val="00253C69"/>
    <w:rsid w:val="00287E15"/>
    <w:rsid w:val="002D3556"/>
    <w:rsid w:val="002D6489"/>
    <w:rsid w:val="002E1D7D"/>
    <w:rsid w:val="002E5FC0"/>
    <w:rsid w:val="002F5D9F"/>
    <w:rsid w:val="0030381D"/>
    <w:rsid w:val="00311639"/>
    <w:rsid w:val="00320533"/>
    <w:rsid w:val="0032533B"/>
    <w:rsid w:val="003559B0"/>
    <w:rsid w:val="003720D4"/>
    <w:rsid w:val="003770F0"/>
    <w:rsid w:val="003A659B"/>
    <w:rsid w:val="004206E6"/>
    <w:rsid w:val="00424484"/>
    <w:rsid w:val="0043472C"/>
    <w:rsid w:val="0044540C"/>
    <w:rsid w:val="004467A3"/>
    <w:rsid w:val="0045323D"/>
    <w:rsid w:val="00457C57"/>
    <w:rsid w:val="004E5633"/>
    <w:rsid w:val="004E794C"/>
    <w:rsid w:val="004F292E"/>
    <w:rsid w:val="00501569"/>
    <w:rsid w:val="0054501D"/>
    <w:rsid w:val="00545EA3"/>
    <w:rsid w:val="005603B7"/>
    <w:rsid w:val="00591FE6"/>
    <w:rsid w:val="005C0AF1"/>
    <w:rsid w:val="005C3D80"/>
    <w:rsid w:val="005F35E6"/>
    <w:rsid w:val="00614257"/>
    <w:rsid w:val="00633A25"/>
    <w:rsid w:val="006354CB"/>
    <w:rsid w:val="0064738F"/>
    <w:rsid w:val="006811F9"/>
    <w:rsid w:val="006F2F6E"/>
    <w:rsid w:val="00712072"/>
    <w:rsid w:val="007565F4"/>
    <w:rsid w:val="00766473"/>
    <w:rsid w:val="00767CE0"/>
    <w:rsid w:val="0077323D"/>
    <w:rsid w:val="0078751E"/>
    <w:rsid w:val="007B1D19"/>
    <w:rsid w:val="007B2F5C"/>
    <w:rsid w:val="007D0846"/>
    <w:rsid w:val="007D1028"/>
    <w:rsid w:val="0084374C"/>
    <w:rsid w:val="00856FF5"/>
    <w:rsid w:val="008734BD"/>
    <w:rsid w:val="00880B4F"/>
    <w:rsid w:val="00891172"/>
    <w:rsid w:val="008915EB"/>
    <w:rsid w:val="008D21FC"/>
    <w:rsid w:val="008D640C"/>
    <w:rsid w:val="008F14A8"/>
    <w:rsid w:val="008F6152"/>
    <w:rsid w:val="00905341"/>
    <w:rsid w:val="0090701C"/>
    <w:rsid w:val="0092723E"/>
    <w:rsid w:val="009278F6"/>
    <w:rsid w:val="00986BF0"/>
    <w:rsid w:val="009908E5"/>
    <w:rsid w:val="009A3498"/>
    <w:rsid w:val="009C11FE"/>
    <w:rsid w:val="009D3983"/>
    <w:rsid w:val="00A115C7"/>
    <w:rsid w:val="00A27918"/>
    <w:rsid w:val="00A55496"/>
    <w:rsid w:val="00A607D1"/>
    <w:rsid w:val="00A73085"/>
    <w:rsid w:val="00A87233"/>
    <w:rsid w:val="00A90D8A"/>
    <w:rsid w:val="00A9110E"/>
    <w:rsid w:val="00A966FB"/>
    <w:rsid w:val="00AB3177"/>
    <w:rsid w:val="00AE1A66"/>
    <w:rsid w:val="00AF3988"/>
    <w:rsid w:val="00B3288B"/>
    <w:rsid w:val="00B329C1"/>
    <w:rsid w:val="00B57E95"/>
    <w:rsid w:val="00B84CFE"/>
    <w:rsid w:val="00B90DE3"/>
    <w:rsid w:val="00BE1DCC"/>
    <w:rsid w:val="00C13EDA"/>
    <w:rsid w:val="00C765F3"/>
    <w:rsid w:val="00C86AAA"/>
    <w:rsid w:val="00C90BAA"/>
    <w:rsid w:val="00D07A5C"/>
    <w:rsid w:val="00D12320"/>
    <w:rsid w:val="00D12916"/>
    <w:rsid w:val="00D24707"/>
    <w:rsid w:val="00D61EB1"/>
    <w:rsid w:val="00D6614E"/>
    <w:rsid w:val="00D71503"/>
    <w:rsid w:val="00D74B6B"/>
    <w:rsid w:val="00D91D62"/>
    <w:rsid w:val="00DA557A"/>
    <w:rsid w:val="00DA78BE"/>
    <w:rsid w:val="00DB1096"/>
    <w:rsid w:val="00DB4C07"/>
    <w:rsid w:val="00DC01C5"/>
    <w:rsid w:val="00DF3AFC"/>
    <w:rsid w:val="00E402EA"/>
    <w:rsid w:val="00E53788"/>
    <w:rsid w:val="00E57B58"/>
    <w:rsid w:val="00E778FF"/>
    <w:rsid w:val="00EC0E65"/>
    <w:rsid w:val="00ED4308"/>
    <w:rsid w:val="00EF22D3"/>
    <w:rsid w:val="00F04778"/>
    <w:rsid w:val="00F52787"/>
    <w:rsid w:val="00FB151F"/>
    <w:rsid w:val="00FB18FE"/>
    <w:rsid w:val="00FB200C"/>
    <w:rsid w:val="00FB496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D8A"/>
    <w:rPr>
      <w:rFonts w:ascii="Calibri" w:hAnsi="Calibri" w:cs="Times New Roman"/>
    </w:rPr>
  </w:style>
  <w:style w:type="paragraph" w:styleId="Titre1">
    <w:name w:val="heading 1"/>
    <w:basedOn w:val="Normal"/>
    <w:next w:val="Normal"/>
    <w:link w:val="Titre1Car"/>
    <w:uiPriority w:val="9"/>
    <w:qFormat/>
    <w:rsid w:val="002F5D9F"/>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D24707"/>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DF3AFC"/>
    <w:pPr>
      <w:keepNext/>
      <w:keepLines/>
      <w:spacing w:before="200" w:after="0"/>
      <w:outlineLvl w:val="2"/>
    </w:pPr>
    <w:rPr>
      <w:rFonts w:asciiTheme="majorHAnsi" w:eastAsiaTheme="majorEastAsia" w:hAnsiTheme="majorHAnsi" w:cstheme="majorBidi"/>
      <w:b/>
      <w:b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D9F"/>
    <w:rPr>
      <w:rFonts w:asciiTheme="majorHAnsi" w:eastAsiaTheme="majorEastAsia" w:hAnsiTheme="majorHAnsi" w:cstheme="majorBidi"/>
      <w:b/>
      <w:bCs/>
      <w:color w:val="B35E06" w:themeColor="accent1" w:themeShade="BF"/>
      <w:sz w:val="28"/>
      <w:szCs w:val="28"/>
    </w:rPr>
  </w:style>
  <w:style w:type="paragraph" w:styleId="En-ttedetabledesmatires">
    <w:name w:val="TOC Heading"/>
    <w:basedOn w:val="Titre1"/>
    <w:next w:val="Normal"/>
    <w:uiPriority w:val="39"/>
    <w:semiHidden/>
    <w:unhideWhenUsed/>
    <w:qFormat/>
    <w:rsid w:val="002F5D9F"/>
    <w:pPr>
      <w:outlineLvl w:val="9"/>
    </w:pPr>
    <w:rPr>
      <w:lang w:eastAsia="fr-FR"/>
    </w:rPr>
  </w:style>
  <w:style w:type="paragraph" w:styleId="TM1">
    <w:name w:val="toc 1"/>
    <w:basedOn w:val="Normal"/>
    <w:next w:val="Normal"/>
    <w:autoRedefine/>
    <w:uiPriority w:val="39"/>
    <w:unhideWhenUsed/>
    <w:rsid w:val="002F5D9F"/>
    <w:pPr>
      <w:spacing w:after="100"/>
    </w:pPr>
  </w:style>
  <w:style w:type="character" w:styleId="Lienhypertexte">
    <w:name w:val="Hyperlink"/>
    <w:basedOn w:val="Policepardfaut"/>
    <w:uiPriority w:val="99"/>
    <w:unhideWhenUsed/>
    <w:rsid w:val="002F5D9F"/>
    <w:rPr>
      <w:color w:val="6B9F25" w:themeColor="hyperlink"/>
      <w:u w:val="single"/>
    </w:rPr>
  </w:style>
  <w:style w:type="paragraph" w:styleId="Textedebulles">
    <w:name w:val="Balloon Text"/>
    <w:basedOn w:val="Normal"/>
    <w:link w:val="TextedebullesCar"/>
    <w:uiPriority w:val="99"/>
    <w:semiHidden/>
    <w:unhideWhenUsed/>
    <w:rsid w:val="002F5D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5D9F"/>
    <w:rPr>
      <w:rFonts w:ascii="Tahoma" w:hAnsi="Tahoma" w:cs="Tahoma"/>
      <w:sz w:val="16"/>
      <w:szCs w:val="16"/>
    </w:rPr>
  </w:style>
  <w:style w:type="paragraph" w:styleId="Paragraphedeliste">
    <w:name w:val="List Paragraph"/>
    <w:basedOn w:val="Normal"/>
    <w:uiPriority w:val="34"/>
    <w:qFormat/>
    <w:rsid w:val="007D0846"/>
    <w:pPr>
      <w:ind w:left="720"/>
      <w:contextualSpacing/>
    </w:pPr>
  </w:style>
  <w:style w:type="character" w:customStyle="1" w:styleId="Titre2Car">
    <w:name w:val="Titre 2 Car"/>
    <w:basedOn w:val="Policepardfaut"/>
    <w:link w:val="Titre2"/>
    <w:uiPriority w:val="9"/>
    <w:rsid w:val="00D24707"/>
    <w:rPr>
      <w:rFonts w:asciiTheme="majorHAnsi" w:eastAsiaTheme="majorEastAsia" w:hAnsiTheme="majorHAnsi" w:cstheme="majorBidi"/>
      <w:b/>
      <w:bCs/>
      <w:color w:val="F07F09" w:themeColor="accent1"/>
      <w:sz w:val="26"/>
      <w:szCs w:val="26"/>
    </w:rPr>
  </w:style>
  <w:style w:type="paragraph" w:styleId="TM2">
    <w:name w:val="toc 2"/>
    <w:basedOn w:val="Normal"/>
    <w:next w:val="Normal"/>
    <w:autoRedefine/>
    <w:uiPriority w:val="39"/>
    <w:unhideWhenUsed/>
    <w:rsid w:val="00153B64"/>
    <w:pPr>
      <w:spacing w:after="100"/>
      <w:ind w:left="220"/>
    </w:pPr>
  </w:style>
  <w:style w:type="table" w:styleId="Grilledutableau">
    <w:name w:val="Table Grid"/>
    <w:basedOn w:val="TableauNormal"/>
    <w:uiPriority w:val="59"/>
    <w:rsid w:val="00153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9C11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3Car">
    <w:name w:val="Titre 3 Car"/>
    <w:basedOn w:val="Policepardfaut"/>
    <w:link w:val="Titre3"/>
    <w:uiPriority w:val="9"/>
    <w:rsid w:val="00DF3AFC"/>
    <w:rPr>
      <w:rFonts w:asciiTheme="majorHAnsi" w:eastAsiaTheme="majorEastAsia" w:hAnsiTheme="majorHAnsi" w:cstheme="majorBidi"/>
      <w:b/>
      <w:bCs/>
      <w:color w:val="F07F09" w:themeColor="accent1"/>
    </w:rPr>
  </w:style>
  <w:style w:type="paragraph" w:styleId="Sansinterligne">
    <w:name w:val="No Spacing"/>
    <w:link w:val="SansinterligneCar"/>
    <w:uiPriority w:val="1"/>
    <w:qFormat/>
    <w:rsid w:val="00B329C1"/>
    <w:pPr>
      <w:spacing w:after="0" w:line="240" w:lineRule="auto"/>
    </w:pPr>
    <w:rPr>
      <w:rFonts w:ascii="Calibri" w:hAnsi="Calibri" w:cs="Times New Roman"/>
    </w:rPr>
  </w:style>
  <w:style w:type="paragraph" w:styleId="TM3">
    <w:name w:val="toc 3"/>
    <w:basedOn w:val="Normal"/>
    <w:next w:val="Normal"/>
    <w:autoRedefine/>
    <w:uiPriority w:val="39"/>
    <w:unhideWhenUsed/>
    <w:rsid w:val="00424484"/>
    <w:pPr>
      <w:spacing w:after="100"/>
      <w:ind w:left="440"/>
    </w:pPr>
  </w:style>
  <w:style w:type="paragraph" w:styleId="Sous-titre">
    <w:name w:val="Subtitle"/>
    <w:basedOn w:val="Normal"/>
    <w:next w:val="Normal"/>
    <w:link w:val="Sous-titreCar"/>
    <w:uiPriority w:val="11"/>
    <w:qFormat/>
    <w:rsid w:val="007565F4"/>
    <w:pPr>
      <w:numPr>
        <w:ilvl w:val="1"/>
      </w:numPr>
      <w:spacing w:after="0" w:line="240" w:lineRule="auto"/>
    </w:pPr>
    <w:rPr>
      <w:rFonts w:asciiTheme="majorHAnsi" w:eastAsiaTheme="majorEastAsia" w:hAnsiTheme="majorHAnsi" w:cstheme="majorBidi"/>
      <w:i/>
      <w:iCs/>
      <w:color w:val="F07F09" w:themeColor="accent1"/>
      <w:spacing w:val="15"/>
      <w:sz w:val="24"/>
      <w:szCs w:val="24"/>
    </w:rPr>
  </w:style>
  <w:style w:type="character" w:customStyle="1" w:styleId="Sous-titreCar">
    <w:name w:val="Sous-titre Car"/>
    <w:basedOn w:val="Policepardfaut"/>
    <w:link w:val="Sous-titre"/>
    <w:uiPriority w:val="11"/>
    <w:rsid w:val="007565F4"/>
    <w:rPr>
      <w:rFonts w:asciiTheme="majorHAnsi" w:eastAsiaTheme="majorEastAsia" w:hAnsiTheme="majorHAnsi" w:cstheme="majorBidi"/>
      <w:i/>
      <w:iCs/>
      <w:color w:val="F07F09" w:themeColor="accent1"/>
      <w:spacing w:val="15"/>
      <w:sz w:val="24"/>
      <w:szCs w:val="24"/>
    </w:rPr>
  </w:style>
  <w:style w:type="paragraph" w:styleId="En-tte">
    <w:name w:val="header"/>
    <w:basedOn w:val="Normal"/>
    <w:link w:val="En-tteCar"/>
    <w:uiPriority w:val="99"/>
    <w:unhideWhenUsed/>
    <w:rsid w:val="001A57A0"/>
    <w:pPr>
      <w:tabs>
        <w:tab w:val="center" w:pos="4536"/>
        <w:tab w:val="right" w:pos="9072"/>
      </w:tabs>
      <w:spacing w:after="0" w:line="240" w:lineRule="auto"/>
    </w:pPr>
  </w:style>
  <w:style w:type="character" w:customStyle="1" w:styleId="En-tteCar">
    <w:name w:val="En-tête Car"/>
    <w:basedOn w:val="Policepardfaut"/>
    <w:link w:val="En-tte"/>
    <w:uiPriority w:val="99"/>
    <w:rsid w:val="001A57A0"/>
    <w:rPr>
      <w:rFonts w:ascii="Calibri" w:hAnsi="Calibri" w:cs="Times New Roman"/>
    </w:rPr>
  </w:style>
  <w:style w:type="paragraph" w:styleId="Pieddepage">
    <w:name w:val="footer"/>
    <w:basedOn w:val="Normal"/>
    <w:link w:val="PieddepageCar"/>
    <w:uiPriority w:val="99"/>
    <w:unhideWhenUsed/>
    <w:rsid w:val="001A57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7A0"/>
    <w:rPr>
      <w:rFonts w:ascii="Calibri" w:hAnsi="Calibri" w:cs="Times New Roman"/>
    </w:rPr>
  </w:style>
  <w:style w:type="paragraph" w:styleId="Notedebasdepage">
    <w:name w:val="footnote text"/>
    <w:basedOn w:val="Normal"/>
    <w:link w:val="NotedebasdepageCar"/>
    <w:uiPriority w:val="99"/>
    <w:semiHidden/>
    <w:unhideWhenUsed/>
    <w:rsid w:val="008F615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F6152"/>
    <w:rPr>
      <w:rFonts w:ascii="Calibri" w:hAnsi="Calibri" w:cs="Times New Roman"/>
      <w:sz w:val="20"/>
      <w:szCs w:val="20"/>
    </w:rPr>
  </w:style>
  <w:style w:type="character" w:styleId="Appelnotedebasdep">
    <w:name w:val="footnote reference"/>
    <w:basedOn w:val="Policepardfaut"/>
    <w:uiPriority w:val="99"/>
    <w:semiHidden/>
    <w:unhideWhenUsed/>
    <w:rsid w:val="008F6152"/>
    <w:rPr>
      <w:vertAlign w:val="superscript"/>
    </w:rPr>
  </w:style>
  <w:style w:type="character" w:customStyle="1" w:styleId="SansinterligneCar">
    <w:name w:val="Sans interligne Car"/>
    <w:basedOn w:val="Policepardfaut"/>
    <w:link w:val="Sansinterligne"/>
    <w:uiPriority w:val="1"/>
    <w:rsid w:val="00180E87"/>
    <w:rPr>
      <w:rFonts w:ascii="Calibri" w:hAnsi="Calibri" w:cs="Times New Roman"/>
    </w:rPr>
  </w:style>
</w:styles>
</file>

<file path=word/webSettings.xml><?xml version="1.0" encoding="utf-8"?>
<w:webSettings xmlns:r="http://schemas.openxmlformats.org/officeDocument/2006/relationships" xmlns:w="http://schemas.openxmlformats.org/wordprocessingml/2006/main">
  <w:divs>
    <w:div w:id="5641224">
      <w:bodyDiv w:val="1"/>
      <w:marLeft w:val="0"/>
      <w:marRight w:val="0"/>
      <w:marTop w:val="0"/>
      <w:marBottom w:val="0"/>
      <w:divBdr>
        <w:top w:val="none" w:sz="0" w:space="0" w:color="auto"/>
        <w:left w:val="none" w:sz="0" w:space="0" w:color="auto"/>
        <w:bottom w:val="none" w:sz="0" w:space="0" w:color="auto"/>
        <w:right w:val="none" w:sz="0" w:space="0" w:color="auto"/>
      </w:divBdr>
      <w:divsChild>
        <w:div w:id="1977484931">
          <w:marLeft w:val="547"/>
          <w:marRight w:val="0"/>
          <w:marTop w:val="384"/>
          <w:marBottom w:val="115"/>
          <w:divBdr>
            <w:top w:val="none" w:sz="0" w:space="0" w:color="auto"/>
            <w:left w:val="none" w:sz="0" w:space="0" w:color="auto"/>
            <w:bottom w:val="none" w:sz="0" w:space="0" w:color="auto"/>
            <w:right w:val="none" w:sz="0" w:space="0" w:color="auto"/>
          </w:divBdr>
        </w:div>
        <w:div w:id="708844678">
          <w:marLeft w:val="979"/>
          <w:marRight w:val="0"/>
          <w:marTop w:val="0"/>
          <w:marBottom w:val="67"/>
          <w:divBdr>
            <w:top w:val="none" w:sz="0" w:space="0" w:color="auto"/>
            <w:left w:val="none" w:sz="0" w:space="0" w:color="auto"/>
            <w:bottom w:val="none" w:sz="0" w:space="0" w:color="auto"/>
            <w:right w:val="none" w:sz="0" w:space="0" w:color="auto"/>
          </w:divBdr>
        </w:div>
        <w:div w:id="1057048384">
          <w:marLeft w:val="979"/>
          <w:marRight w:val="0"/>
          <w:marTop w:val="0"/>
          <w:marBottom w:val="67"/>
          <w:divBdr>
            <w:top w:val="none" w:sz="0" w:space="0" w:color="auto"/>
            <w:left w:val="none" w:sz="0" w:space="0" w:color="auto"/>
            <w:bottom w:val="none" w:sz="0" w:space="0" w:color="auto"/>
            <w:right w:val="none" w:sz="0" w:space="0" w:color="auto"/>
          </w:divBdr>
        </w:div>
        <w:div w:id="883951764">
          <w:marLeft w:val="547"/>
          <w:marRight w:val="0"/>
          <w:marTop w:val="360"/>
          <w:marBottom w:val="115"/>
          <w:divBdr>
            <w:top w:val="none" w:sz="0" w:space="0" w:color="auto"/>
            <w:left w:val="none" w:sz="0" w:space="0" w:color="auto"/>
            <w:bottom w:val="none" w:sz="0" w:space="0" w:color="auto"/>
            <w:right w:val="none" w:sz="0" w:space="0" w:color="auto"/>
          </w:divBdr>
        </w:div>
        <w:div w:id="1482115463">
          <w:marLeft w:val="979"/>
          <w:marRight w:val="0"/>
          <w:marTop w:val="0"/>
          <w:marBottom w:val="67"/>
          <w:divBdr>
            <w:top w:val="none" w:sz="0" w:space="0" w:color="auto"/>
            <w:left w:val="none" w:sz="0" w:space="0" w:color="auto"/>
            <w:bottom w:val="none" w:sz="0" w:space="0" w:color="auto"/>
            <w:right w:val="none" w:sz="0" w:space="0" w:color="auto"/>
          </w:divBdr>
        </w:div>
        <w:div w:id="609623503">
          <w:marLeft w:val="979"/>
          <w:marRight w:val="0"/>
          <w:marTop w:val="0"/>
          <w:marBottom w:val="67"/>
          <w:divBdr>
            <w:top w:val="none" w:sz="0" w:space="0" w:color="auto"/>
            <w:left w:val="none" w:sz="0" w:space="0" w:color="auto"/>
            <w:bottom w:val="none" w:sz="0" w:space="0" w:color="auto"/>
            <w:right w:val="none" w:sz="0" w:space="0" w:color="auto"/>
          </w:divBdr>
        </w:div>
        <w:div w:id="98334631">
          <w:marLeft w:val="979"/>
          <w:marRight w:val="0"/>
          <w:marTop w:val="0"/>
          <w:marBottom w:val="67"/>
          <w:divBdr>
            <w:top w:val="none" w:sz="0" w:space="0" w:color="auto"/>
            <w:left w:val="none" w:sz="0" w:space="0" w:color="auto"/>
            <w:bottom w:val="none" w:sz="0" w:space="0" w:color="auto"/>
            <w:right w:val="none" w:sz="0" w:space="0" w:color="auto"/>
          </w:divBdr>
        </w:div>
        <w:div w:id="1404453042">
          <w:marLeft w:val="979"/>
          <w:marRight w:val="0"/>
          <w:marTop w:val="0"/>
          <w:marBottom w:val="67"/>
          <w:divBdr>
            <w:top w:val="none" w:sz="0" w:space="0" w:color="auto"/>
            <w:left w:val="none" w:sz="0" w:space="0" w:color="auto"/>
            <w:bottom w:val="none" w:sz="0" w:space="0" w:color="auto"/>
            <w:right w:val="none" w:sz="0" w:space="0" w:color="auto"/>
          </w:divBdr>
        </w:div>
      </w:divsChild>
    </w:div>
    <w:div w:id="54932782">
      <w:bodyDiv w:val="1"/>
      <w:marLeft w:val="0"/>
      <w:marRight w:val="0"/>
      <w:marTop w:val="0"/>
      <w:marBottom w:val="0"/>
      <w:divBdr>
        <w:top w:val="none" w:sz="0" w:space="0" w:color="auto"/>
        <w:left w:val="none" w:sz="0" w:space="0" w:color="auto"/>
        <w:bottom w:val="none" w:sz="0" w:space="0" w:color="auto"/>
        <w:right w:val="none" w:sz="0" w:space="0" w:color="auto"/>
      </w:divBdr>
    </w:div>
    <w:div w:id="81687053">
      <w:bodyDiv w:val="1"/>
      <w:marLeft w:val="0"/>
      <w:marRight w:val="0"/>
      <w:marTop w:val="0"/>
      <w:marBottom w:val="0"/>
      <w:divBdr>
        <w:top w:val="none" w:sz="0" w:space="0" w:color="auto"/>
        <w:left w:val="none" w:sz="0" w:space="0" w:color="auto"/>
        <w:bottom w:val="none" w:sz="0" w:space="0" w:color="auto"/>
        <w:right w:val="none" w:sz="0" w:space="0" w:color="auto"/>
      </w:divBdr>
      <w:divsChild>
        <w:div w:id="1986660063">
          <w:marLeft w:val="547"/>
          <w:marRight w:val="0"/>
          <w:marTop w:val="384"/>
          <w:marBottom w:val="115"/>
          <w:divBdr>
            <w:top w:val="none" w:sz="0" w:space="0" w:color="auto"/>
            <w:left w:val="none" w:sz="0" w:space="0" w:color="auto"/>
            <w:bottom w:val="none" w:sz="0" w:space="0" w:color="auto"/>
            <w:right w:val="none" w:sz="0" w:space="0" w:color="auto"/>
          </w:divBdr>
        </w:div>
        <w:div w:id="1798987853">
          <w:marLeft w:val="979"/>
          <w:marRight w:val="0"/>
          <w:marTop w:val="0"/>
          <w:marBottom w:val="67"/>
          <w:divBdr>
            <w:top w:val="none" w:sz="0" w:space="0" w:color="auto"/>
            <w:left w:val="none" w:sz="0" w:space="0" w:color="auto"/>
            <w:bottom w:val="none" w:sz="0" w:space="0" w:color="auto"/>
            <w:right w:val="none" w:sz="0" w:space="0" w:color="auto"/>
          </w:divBdr>
        </w:div>
        <w:div w:id="231933388">
          <w:marLeft w:val="979"/>
          <w:marRight w:val="0"/>
          <w:marTop w:val="0"/>
          <w:marBottom w:val="67"/>
          <w:divBdr>
            <w:top w:val="none" w:sz="0" w:space="0" w:color="auto"/>
            <w:left w:val="none" w:sz="0" w:space="0" w:color="auto"/>
            <w:bottom w:val="none" w:sz="0" w:space="0" w:color="auto"/>
            <w:right w:val="none" w:sz="0" w:space="0" w:color="auto"/>
          </w:divBdr>
        </w:div>
        <w:div w:id="1536574627">
          <w:marLeft w:val="547"/>
          <w:marRight w:val="0"/>
          <w:marTop w:val="360"/>
          <w:marBottom w:val="115"/>
          <w:divBdr>
            <w:top w:val="none" w:sz="0" w:space="0" w:color="auto"/>
            <w:left w:val="none" w:sz="0" w:space="0" w:color="auto"/>
            <w:bottom w:val="none" w:sz="0" w:space="0" w:color="auto"/>
            <w:right w:val="none" w:sz="0" w:space="0" w:color="auto"/>
          </w:divBdr>
        </w:div>
        <w:div w:id="858274612">
          <w:marLeft w:val="979"/>
          <w:marRight w:val="0"/>
          <w:marTop w:val="0"/>
          <w:marBottom w:val="67"/>
          <w:divBdr>
            <w:top w:val="none" w:sz="0" w:space="0" w:color="auto"/>
            <w:left w:val="none" w:sz="0" w:space="0" w:color="auto"/>
            <w:bottom w:val="none" w:sz="0" w:space="0" w:color="auto"/>
            <w:right w:val="none" w:sz="0" w:space="0" w:color="auto"/>
          </w:divBdr>
        </w:div>
        <w:div w:id="51392047">
          <w:marLeft w:val="979"/>
          <w:marRight w:val="0"/>
          <w:marTop w:val="0"/>
          <w:marBottom w:val="67"/>
          <w:divBdr>
            <w:top w:val="none" w:sz="0" w:space="0" w:color="auto"/>
            <w:left w:val="none" w:sz="0" w:space="0" w:color="auto"/>
            <w:bottom w:val="none" w:sz="0" w:space="0" w:color="auto"/>
            <w:right w:val="none" w:sz="0" w:space="0" w:color="auto"/>
          </w:divBdr>
        </w:div>
        <w:div w:id="339940408">
          <w:marLeft w:val="979"/>
          <w:marRight w:val="0"/>
          <w:marTop w:val="0"/>
          <w:marBottom w:val="67"/>
          <w:divBdr>
            <w:top w:val="none" w:sz="0" w:space="0" w:color="auto"/>
            <w:left w:val="none" w:sz="0" w:space="0" w:color="auto"/>
            <w:bottom w:val="none" w:sz="0" w:space="0" w:color="auto"/>
            <w:right w:val="none" w:sz="0" w:space="0" w:color="auto"/>
          </w:divBdr>
        </w:div>
        <w:div w:id="1488131430">
          <w:marLeft w:val="979"/>
          <w:marRight w:val="0"/>
          <w:marTop w:val="0"/>
          <w:marBottom w:val="67"/>
          <w:divBdr>
            <w:top w:val="none" w:sz="0" w:space="0" w:color="auto"/>
            <w:left w:val="none" w:sz="0" w:space="0" w:color="auto"/>
            <w:bottom w:val="none" w:sz="0" w:space="0" w:color="auto"/>
            <w:right w:val="none" w:sz="0" w:space="0" w:color="auto"/>
          </w:divBdr>
        </w:div>
      </w:divsChild>
    </w:div>
    <w:div w:id="121927834">
      <w:bodyDiv w:val="1"/>
      <w:marLeft w:val="0"/>
      <w:marRight w:val="0"/>
      <w:marTop w:val="0"/>
      <w:marBottom w:val="0"/>
      <w:divBdr>
        <w:top w:val="none" w:sz="0" w:space="0" w:color="auto"/>
        <w:left w:val="none" w:sz="0" w:space="0" w:color="auto"/>
        <w:bottom w:val="none" w:sz="0" w:space="0" w:color="auto"/>
        <w:right w:val="none" w:sz="0" w:space="0" w:color="auto"/>
      </w:divBdr>
      <w:divsChild>
        <w:div w:id="1529679616">
          <w:marLeft w:val="979"/>
          <w:marRight w:val="0"/>
          <w:marTop w:val="0"/>
          <w:marBottom w:val="67"/>
          <w:divBdr>
            <w:top w:val="none" w:sz="0" w:space="0" w:color="auto"/>
            <w:left w:val="none" w:sz="0" w:space="0" w:color="auto"/>
            <w:bottom w:val="none" w:sz="0" w:space="0" w:color="auto"/>
            <w:right w:val="none" w:sz="0" w:space="0" w:color="auto"/>
          </w:divBdr>
        </w:div>
      </w:divsChild>
    </w:div>
    <w:div w:id="270013962">
      <w:bodyDiv w:val="1"/>
      <w:marLeft w:val="0"/>
      <w:marRight w:val="0"/>
      <w:marTop w:val="0"/>
      <w:marBottom w:val="0"/>
      <w:divBdr>
        <w:top w:val="none" w:sz="0" w:space="0" w:color="auto"/>
        <w:left w:val="none" w:sz="0" w:space="0" w:color="auto"/>
        <w:bottom w:val="none" w:sz="0" w:space="0" w:color="auto"/>
        <w:right w:val="none" w:sz="0" w:space="0" w:color="auto"/>
      </w:divBdr>
    </w:div>
    <w:div w:id="327176707">
      <w:bodyDiv w:val="1"/>
      <w:marLeft w:val="0"/>
      <w:marRight w:val="0"/>
      <w:marTop w:val="0"/>
      <w:marBottom w:val="0"/>
      <w:divBdr>
        <w:top w:val="none" w:sz="0" w:space="0" w:color="auto"/>
        <w:left w:val="none" w:sz="0" w:space="0" w:color="auto"/>
        <w:bottom w:val="none" w:sz="0" w:space="0" w:color="auto"/>
        <w:right w:val="none" w:sz="0" w:space="0" w:color="auto"/>
      </w:divBdr>
    </w:div>
    <w:div w:id="341323671">
      <w:bodyDiv w:val="1"/>
      <w:marLeft w:val="0"/>
      <w:marRight w:val="0"/>
      <w:marTop w:val="0"/>
      <w:marBottom w:val="0"/>
      <w:divBdr>
        <w:top w:val="none" w:sz="0" w:space="0" w:color="auto"/>
        <w:left w:val="none" w:sz="0" w:space="0" w:color="auto"/>
        <w:bottom w:val="none" w:sz="0" w:space="0" w:color="auto"/>
        <w:right w:val="none" w:sz="0" w:space="0" w:color="auto"/>
      </w:divBdr>
    </w:div>
    <w:div w:id="355691456">
      <w:bodyDiv w:val="1"/>
      <w:marLeft w:val="0"/>
      <w:marRight w:val="0"/>
      <w:marTop w:val="0"/>
      <w:marBottom w:val="0"/>
      <w:divBdr>
        <w:top w:val="none" w:sz="0" w:space="0" w:color="auto"/>
        <w:left w:val="none" w:sz="0" w:space="0" w:color="auto"/>
        <w:bottom w:val="none" w:sz="0" w:space="0" w:color="auto"/>
        <w:right w:val="none" w:sz="0" w:space="0" w:color="auto"/>
      </w:divBdr>
    </w:div>
    <w:div w:id="359403056">
      <w:bodyDiv w:val="1"/>
      <w:marLeft w:val="0"/>
      <w:marRight w:val="0"/>
      <w:marTop w:val="0"/>
      <w:marBottom w:val="0"/>
      <w:divBdr>
        <w:top w:val="none" w:sz="0" w:space="0" w:color="auto"/>
        <w:left w:val="none" w:sz="0" w:space="0" w:color="auto"/>
        <w:bottom w:val="none" w:sz="0" w:space="0" w:color="auto"/>
        <w:right w:val="none" w:sz="0" w:space="0" w:color="auto"/>
      </w:divBdr>
      <w:divsChild>
        <w:div w:id="548343193">
          <w:marLeft w:val="547"/>
          <w:marRight w:val="0"/>
          <w:marTop w:val="240"/>
          <w:marBottom w:val="115"/>
          <w:divBdr>
            <w:top w:val="none" w:sz="0" w:space="0" w:color="auto"/>
            <w:left w:val="none" w:sz="0" w:space="0" w:color="auto"/>
            <w:bottom w:val="none" w:sz="0" w:space="0" w:color="auto"/>
            <w:right w:val="none" w:sz="0" w:space="0" w:color="auto"/>
          </w:divBdr>
        </w:div>
        <w:div w:id="548107942">
          <w:marLeft w:val="979"/>
          <w:marRight w:val="0"/>
          <w:marTop w:val="0"/>
          <w:marBottom w:val="67"/>
          <w:divBdr>
            <w:top w:val="none" w:sz="0" w:space="0" w:color="auto"/>
            <w:left w:val="none" w:sz="0" w:space="0" w:color="auto"/>
            <w:bottom w:val="none" w:sz="0" w:space="0" w:color="auto"/>
            <w:right w:val="none" w:sz="0" w:space="0" w:color="auto"/>
          </w:divBdr>
        </w:div>
        <w:div w:id="680738657">
          <w:marLeft w:val="979"/>
          <w:marRight w:val="0"/>
          <w:marTop w:val="0"/>
          <w:marBottom w:val="67"/>
          <w:divBdr>
            <w:top w:val="none" w:sz="0" w:space="0" w:color="auto"/>
            <w:left w:val="none" w:sz="0" w:space="0" w:color="auto"/>
            <w:bottom w:val="none" w:sz="0" w:space="0" w:color="auto"/>
            <w:right w:val="none" w:sz="0" w:space="0" w:color="auto"/>
          </w:divBdr>
        </w:div>
        <w:div w:id="1906260435">
          <w:marLeft w:val="1267"/>
          <w:marRight w:val="0"/>
          <w:marTop w:val="0"/>
          <w:marBottom w:val="58"/>
          <w:divBdr>
            <w:top w:val="none" w:sz="0" w:space="0" w:color="auto"/>
            <w:left w:val="none" w:sz="0" w:space="0" w:color="auto"/>
            <w:bottom w:val="none" w:sz="0" w:space="0" w:color="auto"/>
            <w:right w:val="none" w:sz="0" w:space="0" w:color="auto"/>
          </w:divBdr>
        </w:div>
        <w:div w:id="1455516118">
          <w:marLeft w:val="1267"/>
          <w:marRight w:val="0"/>
          <w:marTop w:val="0"/>
          <w:marBottom w:val="58"/>
          <w:divBdr>
            <w:top w:val="none" w:sz="0" w:space="0" w:color="auto"/>
            <w:left w:val="none" w:sz="0" w:space="0" w:color="auto"/>
            <w:bottom w:val="none" w:sz="0" w:space="0" w:color="auto"/>
            <w:right w:val="none" w:sz="0" w:space="0" w:color="auto"/>
          </w:divBdr>
        </w:div>
        <w:div w:id="1658997888">
          <w:marLeft w:val="547"/>
          <w:marRight w:val="0"/>
          <w:marTop w:val="240"/>
          <w:marBottom w:val="115"/>
          <w:divBdr>
            <w:top w:val="none" w:sz="0" w:space="0" w:color="auto"/>
            <w:left w:val="none" w:sz="0" w:space="0" w:color="auto"/>
            <w:bottom w:val="none" w:sz="0" w:space="0" w:color="auto"/>
            <w:right w:val="none" w:sz="0" w:space="0" w:color="auto"/>
          </w:divBdr>
        </w:div>
        <w:div w:id="1641692531">
          <w:marLeft w:val="979"/>
          <w:marRight w:val="0"/>
          <w:marTop w:val="0"/>
          <w:marBottom w:val="67"/>
          <w:divBdr>
            <w:top w:val="none" w:sz="0" w:space="0" w:color="auto"/>
            <w:left w:val="none" w:sz="0" w:space="0" w:color="auto"/>
            <w:bottom w:val="none" w:sz="0" w:space="0" w:color="auto"/>
            <w:right w:val="none" w:sz="0" w:space="0" w:color="auto"/>
          </w:divBdr>
        </w:div>
        <w:div w:id="1505629760">
          <w:marLeft w:val="979"/>
          <w:marRight w:val="0"/>
          <w:marTop w:val="0"/>
          <w:marBottom w:val="67"/>
          <w:divBdr>
            <w:top w:val="none" w:sz="0" w:space="0" w:color="auto"/>
            <w:left w:val="none" w:sz="0" w:space="0" w:color="auto"/>
            <w:bottom w:val="none" w:sz="0" w:space="0" w:color="auto"/>
            <w:right w:val="none" w:sz="0" w:space="0" w:color="auto"/>
          </w:divBdr>
        </w:div>
        <w:div w:id="922684198">
          <w:marLeft w:val="547"/>
          <w:marRight w:val="0"/>
          <w:marTop w:val="384"/>
          <w:marBottom w:val="115"/>
          <w:divBdr>
            <w:top w:val="none" w:sz="0" w:space="0" w:color="auto"/>
            <w:left w:val="none" w:sz="0" w:space="0" w:color="auto"/>
            <w:bottom w:val="none" w:sz="0" w:space="0" w:color="auto"/>
            <w:right w:val="none" w:sz="0" w:space="0" w:color="auto"/>
          </w:divBdr>
        </w:div>
        <w:div w:id="1391684833">
          <w:marLeft w:val="979"/>
          <w:marRight w:val="0"/>
          <w:marTop w:val="0"/>
          <w:marBottom w:val="67"/>
          <w:divBdr>
            <w:top w:val="none" w:sz="0" w:space="0" w:color="auto"/>
            <w:left w:val="none" w:sz="0" w:space="0" w:color="auto"/>
            <w:bottom w:val="none" w:sz="0" w:space="0" w:color="auto"/>
            <w:right w:val="none" w:sz="0" w:space="0" w:color="auto"/>
          </w:divBdr>
        </w:div>
      </w:divsChild>
    </w:div>
    <w:div w:id="361439953">
      <w:bodyDiv w:val="1"/>
      <w:marLeft w:val="0"/>
      <w:marRight w:val="0"/>
      <w:marTop w:val="0"/>
      <w:marBottom w:val="0"/>
      <w:divBdr>
        <w:top w:val="none" w:sz="0" w:space="0" w:color="auto"/>
        <w:left w:val="none" w:sz="0" w:space="0" w:color="auto"/>
        <w:bottom w:val="none" w:sz="0" w:space="0" w:color="auto"/>
        <w:right w:val="none" w:sz="0" w:space="0" w:color="auto"/>
      </w:divBdr>
    </w:div>
    <w:div w:id="425274801">
      <w:bodyDiv w:val="1"/>
      <w:marLeft w:val="0"/>
      <w:marRight w:val="0"/>
      <w:marTop w:val="0"/>
      <w:marBottom w:val="0"/>
      <w:divBdr>
        <w:top w:val="none" w:sz="0" w:space="0" w:color="auto"/>
        <w:left w:val="none" w:sz="0" w:space="0" w:color="auto"/>
        <w:bottom w:val="none" w:sz="0" w:space="0" w:color="auto"/>
        <w:right w:val="none" w:sz="0" w:space="0" w:color="auto"/>
      </w:divBdr>
      <w:divsChild>
        <w:div w:id="1262682556">
          <w:marLeft w:val="547"/>
          <w:marRight w:val="0"/>
          <w:marTop w:val="384"/>
          <w:marBottom w:val="115"/>
          <w:divBdr>
            <w:top w:val="none" w:sz="0" w:space="0" w:color="auto"/>
            <w:left w:val="none" w:sz="0" w:space="0" w:color="auto"/>
            <w:bottom w:val="none" w:sz="0" w:space="0" w:color="auto"/>
            <w:right w:val="none" w:sz="0" w:space="0" w:color="auto"/>
          </w:divBdr>
        </w:div>
        <w:div w:id="419646263">
          <w:marLeft w:val="979"/>
          <w:marRight w:val="0"/>
          <w:marTop w:val="0"/>
          <w:marBottom w:val="67"/>
          <w:divBdr>
            <w:top w:val="none" w:sz="0" w:space="0" w:color="auto"/>
            <w:left w:val="none" w:sz="0" w:space="0" w:color="auto"/>
            <w:bottom w:val="none" w:sz="0" w:space="0" w:color="auto"/>
            <w:right w:val="none" w:sz="0" w:space="0" w:color="auto"/>
          </w:divBdr>
        </w:div>
        <w:div w:id="137384863">
          <w:marLeft w:val="979"/>
          <w:marRight w:val="0"/>
          <w:marTop w:val="0"/>
          <w:marBottom w:val="67"/>
          <w:divBdr>
            <w:top w:val="none" w:sz="0" w:space="0" w:color="auto"/>
            <w:left w:val="none" w:sz="0" w:space="0" w:color="auto"/>
            <w:bottom w:val="none" w:sz="0" w:space="0" w:color="auto"/>
            <w:right w:val="none" w:sz="0" w:space="0" w:color="auto"/>
          </w:divBdr>
        </w:div>
        <w:div w:id="1909149255">
          <w:marLeft w:val="547"/>
          <w:marRight w:val="0"/>
          <w:marTop w:val="180"/>
          <w:marBottom w:val="115"/>
          <w:divBdr>
            <w:top w:val="none" w:sz="0" w:space="0" w:color="auto"/>
            <w:left w:val="none" w:sz="0" w:space="0" w:color="auto"/>
            <w:bottom w:val="none" w:sz="0" w:space="0" w:color="auto"/>
            <w:right w:val="none" w:sz="0" w:space="0" w:color="auto"/>
          </w:divBdr>
        </w:div>
        <w:div w:id="1850019284">
          <w:marLeft w:val="979"/>
          <w:marRight w:val="0"/>
          <w:marTop w:val="0"/>
          <w:marBottom w:val="67"/>
          <w:divBdr>
            <w:top w:val="none" w:sz="0" w:space="0" w:color="auto"/>
            <w:left w:val="none" w:sz="0" w:space="0" w:color="auto"/>
            <w:bottom w:val="none" w:sz="0" w:space="0" w:color="auto"/>
            <w:right w:val="none" w:sz="0" w:space="0" w:color="auto"/>
          </w:divBdr>
        </w:div>
        <w:div w:id="1437871750">
          <w:marLeft w:val="979"/>
          <w:marRight w:val="0"/>
          <w:marTop w:val="0"/>
          <w:marBottom w:val="67"/>
          <w:divBdr>
            <w:top w:val="none" w:sz="0" w:space="0" w:color="auto"/>
            <w:left w:val="none" w:sz="0" w:space="0" w:color="auto"/>
            <w:bottom w:val="none" w:sz="0" w:space="0" w:color="auto"/>
            <w:right w:val="none" w:sz="0" w:space="0" w:color="auto"/>
          </w:divBdr>
        </w:div>
        <w:div w:id="737677331">
          <w:marLeft w:val="547"/>
          <w:marRight w:val="0"/>
          <w:marTop w:val="180"/>
          <w:marBottom w:val="115"/>
          <w:divBdr>
            <w:top w:val="none" w:sz="0" w:space="0" w:color="auto"/>
            <w:left w:val="none" w:sz="0" w:space="0" w:color="auto"/>
            <w:bottom w:val="none" w:sz="0" w:space="0" w:color="auto"/>
            <w:right w:val="none" w:sz="0" w:space="0" w:color="auto"/>
          </w:divBdr>
        </w:div>
        <w:div w:id="2004626787">
          <w:marLeft w:val="979"/>
          <w:marRight w:val="0"/>
          <w:marTop w:val="0"/>
          <w:marBottom w:val="67"/>
          <w:divBdr>
            <w:top w:val="none" w:sz="0" w:space="0" w:color="auto"/>
            <w:left w:val="none" w:sz="0" w:space="0" w:color="auto"/>
            <w:bottom w:val="none" w:sz="0" w:space="0" w:color="auto"/>
            <w:right w:val="none" w:sz="0" w:space="0" w:color="auto"/>
          </w:divBdr>
        </w:div>
        <w:div w:id="991518326">
          <w:marLeft w:val="979"/>
          <w:marRight w:val="0"/>
          <w:marTop w:val="0"/>
          <w:marBottom w:val="67"/>
          <w:divBdr>
            <w:top w:val="none" w:sz="0" w:space="0" w:color="auto"/>
            <w:left w:val="none" w:sz="0" w:space="0" w:color="auto"/>
            <w:bottom w:val="none" w:sz="0" w:space="0" w:color="auto"/>
            <w:right w:val="none" w:sz="0" w:space="0" w:color="auto"/>
          </w:divBdr>
        </w:div>
        <w:div w:id="1388189708">
          <w:marLeft w:val="1267"/>
          <w:marRight w:val="0"/>
          <w:marTop w:val="0"/>
          <w:marBottom w:val="58"/>
          <w:divBdr>
            <w:top w:val="none" w:sz="0" w:space="0" w:color="auto"/>
            <w:left w:val="none" w:sz="0" w:space="0" w:color="auto"/>
            <w:bottom w:val="none" w:sz="0" w:space="0" w:color="auto"/>
            <w:right w:val="none" w:sz="0" w:space="0" w:color="auto"/>
          </w:divBdr>
        </w:div>
        <w:div w:id="328411416">
          <w:marLeft w:val="1267"/>
          <w:marRight w:val="0"/>
          <w:marTop w:val="0"/>
          <w:marBottom w:val="58"/>
          <w:divBdr>
            <w:top w:val="none" w:sz="0" w:space="0" w:color="auto"/>
            <w:left w:val="none" w:sz="0" w:space="0" w:color="auto"/>
            <w:bottom w:val="none" w:sz="0" w:space="0" w:color="auto"/>
            <w:right w:val="none" w:sz="0" w:space="0" w:color="auto"/>
          </w:divBdr>
        </w:div>
      </w:divsChild>
    </w:div>
    <w:div w:id="435294349">
      <w:bodyDiv w:val="1"/>
      <w:marLeft w:val="0"/>
      <w:marRight w:val="0"/>
      <w:marTop w:val="0"/>
      <w:marBottom w:val="0"/>
      <w:divBdr>
        <w:top w:val="none" w:sz="0" w:space="0" w:color="auto"/>
        <w:left w:val="none" w:sz="0" w:space="0" w:color="auto"/>
        <w:bottom w:val="none" w:sz="0" w:space="0" w:color="auto"/>
        <w:right w:val="none" w:sz="0" w:space="0" w:color="auto"/>
      </w:divBdr>
      <w:divsChild>
        <w:div w:id="227806083">
          <w:marLeft w:val="547"/>
          <w:marRight w:val="0"/>
          <w:marTop w:val="384"/>
          <w:marBottom w:val="115"/>
          <w:divBdr>
            <w:top w:val="none" w:sz="0" w:space="0" w:color="auto"/>
            <w:left w:val="none" w:sz="0" w:space="0" w:color="auto"/>
            <w:bottom w:val="none" w:sz="0" w:space="0" w:color="auto"/>
            <w:right w:val="none" w:sz="0" w:space="0" w:color="auto"/>
          </w:divBdr>
        </w:div>
        <w:div w:id="939487622">
          <w:marLeft w:val="979"/>
          <w:marRight w:val="0"/>
          <w:marTop w:val="0"/>
          <w:marBottom w:val="67"/>
          <w:divBdr>
            <w:top w:val="none" w:sz="0" w:space="0" w:color="auto"/>
            <w:left w:val="none" w:sz="0" w:space="0" w:color="auto"/>
            <w:bottom w:val="none" w:sz="0" w:space="0" w:color="auto"/>
            <w:right w:val="none" w:sz="0" w:space="0" w:color="auto"/>
          </w:divBdr>
        </w:div>
        <w:div w:id="573902796">
          <w:marLeft w:val="979"/>
          <w:marRight w:val="0"/>
          <w:marTop w:val="0"/>
          <w:marBottom w:val="67"/>
          <w:divBdr>
            <w:top w:val="none" w:sz="0" w:space="0" w:color="auto"/>
            <w:left w:val="none" w:sz="0" w:space="0" w:color="auto"/>
            <w:bottom w:val="none" w:sz="0" w:space="0" w:color="auto"/>
            <w:right w:val="none" w:sz="0" w:space="0" w:color="auto"/>
          </w:divBdr>
        </w:div>
      </w:divsChild>
    </w:div>
    <w:div w:id="486173916">
      <w:bodyDiv w:val="1"/>
      <w:marLeft w:val="0"/>
      <w:marRight w:val="0"/>
      <w:marTop w:val="0"/>
      <w:marBottom w:val="0"/>
      <w:divBdr>
        <w:top w:val="none" w:sz="0" w:space="0" w:color="auto"/>
        <w:left w:val="none" w:sz="0" w:space="0" w:color="auto"/>
        <w:bottom w:val="none" w:sz="0" w:space="0" w:color="auto"/>
        <w:right w:val="none" w:sz="0" w:space="0" w:color="auto"/>
      </w:divBdr>
      <w:divsChild>
        <w:div w:id="1943760437">
          <w:marLeft w:val="547"/>
          <w:marRight w:val="0"/>
          <w:marTop w:val="360"/>
          <w:marBottom w:val="115"/>
          <w:divBdr>
            <w:top w:val="none" w:sz="0" w:space="0" w:color="auto"/>
            <w:left w:val="none" w:sz="0" w:space="0" w:color="auto"/>
            <w:bottom w:val="none" w:sz="0" w:space="0" w:color="auto"/>
            <w:right w:val="none" w:sz="0" w:space="0" w:color="auto"/>
          </w:divBdr>
        </w:div>
        <w:div w:id="1499809428">
          <w:marLeft w:val="979"/>
          <w:marRight w:val="0"/>
          <w:marTop w:val="0"/>
          <w:marBottom w:val="67"/>
          <w:divBdr>
            <w:top w:val="none" w:sz="0" w:space="0" w:color="auto"/>
            <w:left w:val="none" w:sz="0" w:space="0" w:color="auto"/>
            <w:bottom w:val="none" w:sz="0" w:space="0" w:color="auto"/>
            <w:right w:val="none" w:sz="0" w:space="0" w:color="auto"/>
          </w:divBdr>
        </w:div>
        <w:div w:id="334038198">
          <w:marLeft w:val="979"/>
          <w:marRight w:val="0"/>
          <w:marTop w:val="0"/>
          <w:marBottom w:val="67"/>
          <w:divBdr>
            <w:top w:val="none" w:sz="0" w:space="0" w:color="auto"/>
            <w:left w:val="none" w:sz="0" w:space="0" w:color="auto"/>
            <w:bottom w:val="none" w:sz="0" w:space="0" w:color="auto"/>
            <w:right w:val="none" w:sz="0" w:space="0" w:color="auto"/>
          </w:divBdr>
        </w:div>
        <w:div w:id="271087041">
          <w:marLeft w:val="979"/>
          <w:marRight w:val="0"/>
          <w:marTop w:val="0"/>
          <w:marBottom w:val="67"/>
          <w:divBdr>
            <w:top w:val="none" w:sz="0" w:space="0" w:color="auto"/>
            <w:left w:val="none" w:sz="0" w:space="0" w:color="auto"/>
            <w:bottom w:val="none" w:sz="0" w:space="0" w:color="auto"/>
            <w:right w:val="none" w:sz="0" w:space="0" w:color="auto"/>
          </w:divBdr>
        </w:div>
      </w:divsChild>
    </w:div>
    <w:div w:id="486358791">
      <w:bodyDiv w:val="1"/>
      <w:marLeft w:val="0"/>
      <w:marRight w:val="0"/>
      <w:marTop w:val="0"/>
      <w:marBottom w:val="0"/>
      <w:divBdr>
        <w:top w:val="none" w:sz="0" w:space="0" w:color="auto"/>
        <w:left w:val="none" w:sz="0" w:space="0" w:color="auto"/>
        <w:bottom w:val="none" w:sz="0" w:space="0" w:color="auto"/>
        <w:right w:val="none" w:sz="0" w:space="0" w:color="auto"/>
      </w:divBdr>
    </w:div>
    <w:div w:id="489641604">
      <w:bodyDiv w:val="1"/>
      <w:marLeft w:val="0"/>
      <w:marRight w:val="0"/>
      <w:marTop w:val="0"/>
      <w:marBottom w:val="0"/>
      <w:divBdr>
        <w:top w:val="none" w:sz="0" w:space="0" w:color="auto"/>
        <w:left w:val="none" w:sz="0" w:space="0" w:color="auto"/>
        <w:bottom w:val="none" w:sz="0" w:space="0" w:color="auto"/>
        <w:right w:val="none" w:sz="0" w:space="0" w:color="auto"/>
      </w:divBdr>
    </w:div>
    <w:div w:id="500003301">
      <w:bodyDiv w:val="1"/>
      <w:marLeft w:val="0"/>
      <w:marRight w:val="0"/>
      <w:marTop w:val="0"/>
      <w:marBottom w:val="0"/>
      <w:divBdr>
        <w:top w:val="none" w:sz="0" w:space="0" w:color="auto"/>
        <w:left w:val="none" w:sz="0" w:space="0" w:color="auto"/>
        <w:bottom w:val="none" w:sz="0" w:space="0" w:color="auto"/>
        <w:right w:val="none" w:sz="0" w:space="0" w:color="auto"/>
      </w:divBdr>
      <w:divsChild>
        <w:div w:id="1184905843">
          <w:marLeft w:val="547"/>
          <w:marRight w:val="0"/>
          <w:marTop w:val="384"/>
          <w:marBottom w:val="115"/>
          <w:divBdr>
            <w:top w:val="none" w:sz="0" w:space="0" w:color="auto"/>
            <w:left w:val="none" w:sz="0" w:space="0" w:color="auto"/>
            <w:bottom w:val="none" w:sz="0" w:space="0" w:color="auto"/>
            <w:right w:val="none" w:sz="0" w:space="0" w:color="auto"/>
          </w:divBdr>
        </w:div>
        <w:div w:id="1933509227">
          <w:marLeft w:val="979"/>
          <w:marRight w:val="0"/>
          <w:marTop w:val="0"/>
          <w:marBottom w:val="67"/>
          <w:divBdr>
            <w:top w:val="none" w:sz="0" w:space="0" w:color="auto"/>
            <w:left w:val="none" w:sz="0" w:space="0" w:color="auto"/>
            <w:bottom w:val="none" w:sz="0" w:space="0" w:color="auto"/>
            <w:right w:val="none" w:sz="0" w:space="0" w:color="auto"/>
          </w:divBdr>
        </w:div>
        <w:div w:id="305429161">
          <w:marLeft w:val="979"/>
          <w:marRight w:val="0"/>
          <w:marTop w:val="0"/>
          <w:marBottom w:val="67"/>
          <w:divBdr>
            <w:top w:val="none" w:sz="0" w:space="0" w:color="auto"/>
            <w:left w:val="none" w:sz="0" w:space="0" w:color="auto"/>
            <w:bottom w:val="none" w:sz="0" w:space="0" w:color="auto"/>
            <w:right w:val="none" w:sz="0" w:space="0" w:color="auto"/>
          </w:divBdr>
        </w:div>
        <w:div w:id="181748736">
          <w:marLeft w:val="1267"/>
          <w:marRight w:val="0"/>
          <w:marTop w:val="0"/>
          <w:marBottom w:val="58"/>
          <w:divBdr>
            <w:top w:val="none" w:sz="0" w:space="0" w:color="auto"/>
            <w:left w:val="none" w:sz="0" w:space="0" w:color="auto"/>
            <w:bottom w:val="none" w:sz="0" w:space="0" w:color="auto"/>
            <w:right w:val="none" w:sz="0" w:space="0" w:color="auto"/>
          </w:divBdr>
        </w:div>
        <w:div w:id="426775710">
          <w:marLeft w:val="1267"/>
          <w:marRight w:val="0"/>
          <w:marTop w:val="0"/>
          <w:marBottom w:val="58"/>
          <w:divBdr>
            <w:top w:val="none" w:sz="0" w:space="0" w:color="auto"/>
            <w:left w:val="none" w:sz="0" w:space="0" w:color="auto"/>
            <w:bottom w:val="none" w:sz="0" w:space="0" w:color="auto"/>
            <w:right w:val="none" w:sz="0" w:space="0" w:color="auto"/>
          </w:divBdr>
        </w:div>
        <w:div w:id="128788711">
          <w:marLeft w:val="547"/>
          <w:marRight w:val="0"/>
          <w:marTop w:val="120"/>
          <w:marBottom w:val="115"/>
          <w:divBdr>
            <w:top w:val="none" w:sz="0" w:space="0" w:color="auto"/>
            <w:left w:val="none" w:sz="0" w:space="0" w:color="auto"/>
            <w:bottom w:val="none" w:sz="0" w:space="0" w:color="auto"/>
            <w:right w:val="none" w:sz="0" w:space="0" w:color="auto"/>
          </w:divBdr>
        </w:div>
        <w:div w:id="583999711">
          <w:marLeft w:val="979"/>
          <w:marRight w:val="0"/>
          <w:marTop w:val="0"/>
          <w:marBottom w:val="67"/>
          <w:divBdr>
            <w:top w:val="none" w:sz="0" w:space="0" w:color="auto"/>
            <w:left w:val="none" w:sz="0" w:space="0" w:color="auto"/>
            <w:bottom w:val="none" w:sz="0" w:space="0" w:color="auto"/>
            <w:right w:val="none" w:sz="0" w:space="0" w:color="auto"/>
          </w:divBdr>
        </w:div>
        <w:div w:id="1635404084">
          <w:marLeft w:val="979"/>
          <w:marRight w:val="0"/>
          <w:marTop w:val="0"/>
          <w:marBottom w:val="67"/>
          <w:divBdr>
            <w:top w:val="none" w:sz="0" w:space="0" w:color="auto"/>
            <w:left w:val="none" w:sz="0" w:space="0" w:color="auto"/>
            <w:bottom w:val="none" w:sz="0" w:space="0" w:color="auto"/>
            <w:right w:val="none" w:sz="0" w:space="0" w:color="auto"/>
          </w:divBdr>
        </w:div>
        <w:div w:id="378405852">
          <w:marLeft w:val="1267"/>
          <w:marRight w:val="0"/>
          <w:marTop w:val="0"/>
          <w:marBottom w:val="58"/>
          <w:divBdr>
            <w:top w:val="none" w:sz="0" w:space="0" w:color="auto"/>
            <w:left w:val="none" w:sz="0" w:space="0" w:color="auto"/>
            <w:bottom w:val="none" w:sz="0" w:space="0" w:color="auto"/>
            <w:right w:val="none" w:sz="0" w:space="0" w:color="auto"/>
          </w:divBdr>
        </w:div>
        <w:div w:id="120467752">
          <w:marLeft w:val="1267"/>
          <w:marRight w:val="0"/>
          <w:marTop w:val="0"/>
          <w:marBottom w:val="58"/>
          <w:divBdr>
            <w:top w:val="none" w:sz="0" w:space="0" w:color="auto"/>
            <w:left w:val="none" w:sz="0" w:space="0" w:color="auto"/>
            <w:bottom w:val="none" w:sz="0" w:space="0" w:color="auto"/>
            <w:right w:val="none" w:sz="0" w:space="0" w:color="auto"/>
          </w:divBdr>
        </w:div>
        <w:div w:id="324938757">
          <w:marLeft w:val="979"/>
          <w:marRight w:val="0"/>
          <w:marTop w:val="0"/>
          <w:marBottom w:val="67"/>
          <w:divBdr>
            <w:top w:val="none" w:sz="0" w:space="0" w:color="auto"/>
            <w:left w:val="none" w:sz="0" w:space="0" w:color="auto"/>
            <w:bottom w:val="none" w:sz="0" w:space="0" w:color="auto"/>
            <w:right w:val="none" w:sz="0" w:space="0" w:color="auto"/>
          </w:divBdr>
        </w:div>
        <w:div w:id="1307776971">
          <w:marLeft w:val="1267"/>
          <w:marRight w:val="0"/>
          <w:marTop w:val="0"/>
          <w:marBottom w:val="58"/>
          <w:divBdr>
            <w:top w:val="none" w:sz="0" w:space="0" w:color="auto"/>
            <w:left w:val="none" w:sz="0" w:space="0" w:color="auto"/>
            <w:bottom w:val="none" w:sz="0" w:space="0" w:color="auto"/>
            <w:right w:val="none" w:sz="0" w:space="0" w:color="auto"/>
          </w:divBdr>
        </w:div>
        <w:div w:id="916937849">
          <w:marLeft w:val="1267"/>
          <w:marRight w:val="0"/>
          <w:marTop w:val="0"/>
          <w:marBottom w:val="58"/>
          <w:divBdr>
            <w:top w:val="none" w:sz="0" w:space="0" w:color="auto"/>
            <w:left w:val="none" w:sz="0" w:space="0" w:color="auto"/>
            <w:bottom w:val="none" w:sz="0" w:space="0" w:color="auto"/>
            <w:right w:val="none" w:sz="0" w:space="0" w:color="auto"/>
          </w:divBdr>
        </w:div>
        <w:div w:id="1264386202">
          <w:marLeft w:val="1267"/>
          <w:marRight w:val="0"/>
          <w:marTop w:val="0"/>
          <w:marBottom w:val="58"/>
          <w:divBdr>
            <w:top w:val="none" w:sz="0" w:space="0" w:color="auto"/>
            <w:left w:val="none" w:sz="0" w:space="0" w:color="auto"/>
            <w:bottom w:val="none" w:sz="0" w:space="0" w:color="auto"/>
            <w:right w:val="none" w:sz="0" w:space="0" w:color="auto"/>
          </w:divBdr>
        </w:div>
      </w:divsChild>
    </w:div>
    <w:div w:id="542596263">
      <w:bodyDiv w:val="1"/>
      <w:marLeft w:val="0"/>
      <w:marRight w:val="0"/>
      <w:marTop w:val="0"/>
      <w:marBottom w:val="0"/>
      <w:divBdr>
        <w:top w:val="none" w:sz="0" w:space="0" w:color="auto"/>
        <w:left w:val="none" w:sz="0" w:space="0" w:color="auto"/>
        <w:bottom w:val="none" w:sz="0" w:space="0" w:color="auto"/>
        <w:right w:val="none" w:sz="0" w:space="0" w:color="auto"/>
      </w:divBdr>
    </w:div>
    <w:div w:id="581917008">
      <w:bodyDiv w:val="1"/>
      <w:marLeft w:val="0"/>
      <w:marRight w:val="0"/>
      <w:marTop w:val="0"/>
      <w:marBottom w:val="0"/>
      <w:divBdr>
        <w:top w:val="none" w:sz="0" w:space="0" w:color="auto"/>
        <w:left w:val="none" w:sz="0" w:space="0" w:color="auto"/>
        <w:bottom w:val="none" w:sz="0" w:space="0" w:color="auto"/>
        <w:right w:val="none" w:sz="0" w:space="0" w:color="auto"/>
      </w:divBdr>
    </w:div>
    <w:div w:id="743449633">
      <w:bodyDiv w:val="1"/>
      <w:marLeft w:val="0"/>
      <w:marRight w:val="0"/>
      <w:marTop w:val="0"/>
      <w:marBottom w:val="0"/>
      <w:divBdr>
        <w:top w:val="none" w:sz="0" w:space="0" w:color="auto"/>
        <w:left w:val="none" w:sz="0" w:space="0" w:color="auto"/>
        <w:bottom w:val="none" w:sz="0" w:space="0" w:color="auto"/>
        <w:right w:val="none" w:sz="0" w:space="0" w:color="auto"/>
      </w:divBdr>
      <w:divsChild>
        <w:div w:id="935333667">
          <w:marLeft w:val="979"/>
          <w:marRight w:val="0"/>
          <w:marTop w:val="0"/>
          <w:marBottom w:val="67"/>
          <w:divBdr>
            <w:top w:val="none" w:sz="0" w:space="0" w:color="auto"/>
            <w:left w:val="none" w:sz="0" w:space="0" w:color="auto"/>
            <w:bottom w:val="none" w:sz="0" w:space="0" w:color="auto"/>
            <w:right w:val="none" w:sz="0" w:space="0" w:color="auto"/>
          </w:divBdr>
        </w:div>
      </w:divsChild>
    </w:div>
    <w:div w:id="770390967">
      <w:bodyDiv w:val="1"/>
      <w:marLeft w:val="0"/>
      <w:marRight w:val="0"/>
      <w:marTop w:val="0"/>
      <w:marBottom w:val="0"/>
      <w:divBdr>
        <w:top w:val="none" w:sz="0" w:space="0" w:color="auto"/>
        <w:left w:val="none" w:sz="0" w:space="0" w:color="auto"/>
        <w:bottom w:val="none" w:sz="0" w:space="0" w:color="auto"/>
        <w:right w:val="none" w:sz="0" w:space="0" w:color="auto"/>
      </w:divBdr>
    </w:div>
    <w:div w:id="845561867">
      <w:bodyDiv w:val="1"/>
      <w:marLeft w:val="0"/>
      <w:marRight w:val="0"/>
      <w:marTop w:val="0"/>
      <w:marBottom w:val="0"/>
      <w:divBdr>
        <w:top w:val="none" w:sz="0" w:space="0" w:color="auto"/>
        <w:left w:val="none" w:sz="0" w:space="0" w:color="auto"/>
        <w:bottom w:val="none" w:sz="0" w:space="0" w:color="auto"/>
        <w:right w:val="none" w:sz="0" w:space="0" w:color="auto"/>
      </w:divBdr>
    </w:div>
    <w:div w:id="877543994">
      <w:bodyDiv w:val="1"/>
      <w:marLeft w:val="0"/>
      <w:marRight w:val="0"/>
      <w:marTop w:val="0"/>
      <w:marBottom w:val="0"/>
      <w:divBdr>
        <w:top w:val="none" w:sz="0" w:space="0" w:color="auto"/>
        <w:left w:val="none" w:sz="0" w:space="0" w:color="auto"/>
        <w:bottom w:val="none" w:sz="0" w:space="0" w:color="auto"/>
        <w:right w:val="none" w:sz="0" w:space="0" w:color="auto"/>
      </w:divBdr>
    </w:div>
    <w:div w:id="887688148">
      <w:bodyDiv w:val="1"/>
      <w:marLeft w:val="0"/>
      <w:marRight w:val="0"/>
      <w:marTop w:val="0"/>
      <w:marBottom w:val="0"/>
      <w:divBdr>
        <w:top w:val="none" w:sz="0" w:space="0" w:color="auto"/>
        <w:left w:val="none" w:sz="0" w:space="0" w:color="auto"/>
        <w:bottom w:val="none" w:sz="0" w:space="0" w:color="auto"/>
        <w:right w:val="none" w:sz="0" w:space="0" w:color="auto"/>
      </w:divBdr>
    </w:div>
    <w:div w:id="939263330">
      <w:bodyDiv w:val="1"/>
      <w:marLeft w:val="0"/>
      <w:marRight w:val="0"/>
      <w:marTop w:val="0"/>
      <w:marBottom w:val="0"/>
      <w:divBdr>
        <w:top w:val="none" w:sz="0" w:space="0" w:color="auto"/>
        <w:left w:val="none" w:sz="0" w:space="0" w:color="auto"/>
        <w:bottom w:val="none" w:sz="0" w:space="0" w:color="auto"/>
        <w:right w:val="none" w:sz="0" w:space="0" w:color="auto"/>
      </w:divBdr>
      <w:divsChild>
        <w:div w:id="1852061136">
          <w:marLeft w:val="547"/>
          <w:marRight w:val="0"/>
          <w:marTop w:val="384"/>
          <w:marBottom w:val="115"/>
          <w:divBdr>
            <w:top w:val="none" w:sz="0" w:space="0" w:color="auto"/>
            <w:left w:val="none" w:sz="0" w:space="0" w:color="auto"/>
            <w:bottom w:val="none" w:sz="0" w:space="0" w:color="auto"/>
            <w:right w:val="none" w:sz="0" w:space="0" w:color="auto"/>
          </w:divBdr>
        </w:div>
        <w:div w:id="1814256337">
          <w:marLeft w:val="979"/>
          <w:marRight w:val="0"/>
          <w:marTop w:val="0"/>
          <w:marBottom w:val="67"/>
          <w:divBdr>
            <w:top w:val="none" w:sz="0" w:space="0" w:color="auto"/>
            <w:left w:val="none" w:sz="0" w:space="0" w:color="auto"/>
            <w:bottom w:val="none" w:sz="0" w:space="0" w:color="auto"/>
            <w:right w:val="none" w:sz="0" w:space="0" w:color="auto"/>
          </w:divBdr>
        </w:div>
        <w:div w:id="711424126">
          <w:marLeft w:val="979"/>
          <w:marRight w:val="0"/>
          <w:marTop w:val="0"/>
          <w:marBottom w:val="67"/>
          <w:divBdr>
            <w:top w:val="none" w:sz="0" w:space="0" w:color="auto"/>
            <w:left w:val="none" w:sz="0" w:space="0" w:color="auto"/>
            <w:bottom w:val="none" w:sz="0" w:space="0" w:color="auto"/>
            <w:right w:val="none" w:sz="0" w:space="0" w:color="auto"/>
          </w:divBdr>
        </w:div>
        <w:div w:id="2037536148">
          <w:marLeft w:val="979"/>
          <w:marRight w:val="0"/>
          <w:marTop w:val="0"/>
          <w:marBottom w:val="67"/>
          <w:divBdr>
            <w:top w:val="none" w:sz="0" w:space="0" w:color="auto"/>
            <w:left w:val="none" w:sz="0" w:space="0" w:color="auto"/>
            <w:bottom w:val="none" w:sz="0" w:space="0" w:color="auto"/>
            <w:right w:val="none" w:sz="0" w:space="0" w:color="auto"/>
          </w:divBdr>
        </w:div>
      </w:divsChild>
    </w:div>
    <w:div w:id="1005326301">
      <w:bodyDiv w:val="1"/>
      <w:marLeft w:val="0"/>
      <w:marRight w:val="0"/>
      <w:marTop w:val="0"/>
      <w:marBottom w:val="0"/>
      <w:divBdr>
        <w:top w:val="none" w:sz="0" w:space="0" w:color="auto"/>
        <w:left w:val="none" w:sz="0" w:space="0" w:color="auto"/>
        <w:bottom w:val="none" w:sz="0" w:space="0" w:color="auto"/>
        <w:right w:val="none" w:sz="0" w:space="0" w:color="auto"/>
      </w:divBdr>
    </w:div>
    <w:div w:id="1032263646">
      <w:bodyDiv w:val="1"/>
      <w:marLeft w:val="0"/>
      <w:marRight w:val="0"/>
      <w:marTop w:val="0"/>
      <w:marBottom w:val="0"/>
      <w:divBdr>
        <w:top w:val="none" w:sz="0" w:space="0" w:color="auto"/>
        <w:left w:val="none" w:sz="0" w:space="0" w:color="auto"/>
        <w:bottom w:val="none" w:sz="0" w:space="0" w:color="auto"/>
        <w:right w:val="none" w:sz="0" w:space="0" w:color="auto"/>
      </w:divBdr>
    </w:div>
    <w:div w:id="1172531035">
      <w:bodyDiv w:val="1"/>
      <w:marLeft w:val="0"/>
      <w:marRight w:val="0"/>
      <w:marTop w:val="0"/>
      <w:marBottom w:val="0"/>
      <w:divBdr>
        <w:top w:val="none" w:sz="0" w:space="0" w:color="auto"/>
        <w:left w:val="none" w:sz="0" w:space="0" w:color="auto"/>
        <w:bottom w:val="none" w:sz="0" w:space="0" w:color="auto"/>
        <w:right w:val="none" w:sz="0" w:space="0" w:color="auto"/>
      </w:divBdr>
      <w:divsChild>
        <w:div w:id="271977761">
          <w:marLeft w:val="547"/>
          <w:marRight w:val="0"/>
          <w:marTop w:val="120"/>
          <w:marBottom w:val="115"/>
          <w:divBdr>
            <w:top w:val="none" w:sz="0" w:space="0" w:color="auto"/>
            <w:left w:val="none" w:sz="0" w:space="0" w:color="auto"/>
            <w:bottom w:val="none" w:sz="0" w:space="0" w:color="auto"/>
            <w:right w:val="none" w:sz="0" w:space="0" w:color="auto"/>
          </w:divBdr>
        </w:div>
        <w:div w:id="658577918">
          <w:marLeft w:val="979"/>
          <w:marRight w:val="0"/>
          <w:marTop w:val="0"/>
          <w:marBottom w:val="67"/>
          <w:divBdr>
            <w:top w:val="none" w:sz="0" w:space="0" w:color="auto"/>
            <w:left w:val="none" w:sz="0" w:space="0" w:color="auto"/>
            <w:bottom w:val="none" w:sz="0" w:space="0" w:color="auto"/>
            <w:right w:val="none" w:sz="0" w:space="0" w:color="auto"/>
          </w:divBdr>
        </w:div>
        <w:div w:id="1838182397">
          <w:marLeft w:val="979"/>
          <w:marRight w:val="0"/>
          <w:marTop w:val="0"/>
          <w:marBottom w:val="67"/>
          <w:divBdr>
            <w:top w:val="none" w:sz="0" w:space="0" w:color="auto"/>
            <w:left w:val="none" w:sz="0" w:space="0" w:color="auto"/>
            <w:bottom w:val="none" w:sz="0" w:space="0" w:color="auto"/>
            <w:right w:val="none" w:sz="0" w:space="0" w:color="auto"/>
          </w:divBdr>
        </w:div>
        <w:div w:id="920681698">
          <w:marLeft w:val="979"/>
          <w:marRight w:val="0"/>
          <w:marTop w:val="0"/>
          <w:marBottom w:val="67"/>
          <w:divBdr>
            <w:top w:val="none" w:sz="0" w:space="0" w:color="auto"/>
            <w:left w:val="none" w:sz="0" w:space="0" w:color="auto"/>
            <w:bottom w:val="none" w:sz="0" w:space="0" w:color="auto"/>
            <w:right w:val="none" w:sz="0" w:space="0" w:color="auto"/>
          </w:divBdr>
        </w:div>
        <w:div w:id="1906839468">
          <w:marLeft w:val="547"/>
          <w:marRight w:val="0"/>
          <w:marTop w:val="120"/>
          <w:marBottom w:val="115"/>
          <w:divBdr>
            <w:top w:val="none" w:sz="0" w:space="0" w:color="auto"/>
            <w:left w:val="none" w:sz="0" w:space="0" w:color="auto"/>
            <w:bottom w:val="none" w:sz="0" w:space="0" w:color="auto"/>
            <w:right w:val="none" w:sz="0" w:space="0" w:color="auto"/>
          </w:divBdr>
        </w:div>
        <w:div w:id="1636254455">
          <w:marLeft w:val="979"/>
          <w:marRight w:val="0"/>
          <w:marTop w:val="0"/>
          <w:marBottom w:val="67"/>
          <w:divBdr>
            <w:top w:val="none" w:sz="0" w:space="0" w:color="auto"/>
            <w:left w:val="none" w:sz="0" w:space="0" w:color="auto"/>
            <w:bottom w:val="none" w:sz="0" w:space="0" w:color="auto"/>
            <w:right w:val="none" w:sz="0" w:space="0" w:color="auto"/>
          </w:divBdr>
        </w:div>
        <w:div w:id="1120419866">
          <w:marLeft w:val="979"/>
          <w:marRight w:val="0"/>
          <w:marTop w:val="0"/>
          <w:marBottom w:val="67"/>
          <w:divBdr>
            <w:top w:val="none" w:sz="0" w:space="0" w:color="auto"/>
            <w:left w:val="none" w:sz="0" w:space="0" w:color="auto"/>
            <w:bottom w:val="none" w:sz="0" w:space="0" w:color="auto"/>
            <w:right w:val="none" w:sz="0" w:space="0" w:color="auto"/>
          </w:divBdr>
        </w:div>
      </w:divsChild>
    </w:div>
    <w:div w:id="1215199982">
      <w:bodyDiv w:val="1"/>
      <w:marLeft w:val="0"/>
      <w:marRight w:val="0"/>
      <w:marTop w:val="0"/>
      <w:marBottom w:val="0"/>
      <w:divBdr>
        <w:top w:val="none" w:sz="0" w:space="0" w:color="auto"/>
        <w:left w:val="none" w:sz="0" w:space="0" w:color="auto"/>
        <w:bottom w:val="none" w:sz="0" w:space="0" w:color="auto"/>
        <w:right w:val="none" w:sz="0" w:space="0" w:color="auto"/>
      </w:divBdr>
    </w:div>
    <w:div w:id="1329164770">
      <w:bodyDiv w:val="1"/>
      <w:marLeft w:val="0"/>
      <w:marRight w:val="0"/>
      <w:marTop w:val="0"/>
      <w:marBottom w:val="0"/>
      <w:divBdr>
        <w:top w:val="none" w:sz="0" w:space="0" w:color="auto"/>
        <w:left w:val="none" w:sz="0" w:space="0" w:color="auto"/>
        <w:bottom w:val="none" w:sz="0" w:space="0" w:color="auto"/>
        <w:right w:val="none" w:sz="0" w:space="0" w:color="auto"/>
      </w:divBdr>
      <w:divsChild>
        <w:div w:id="693920435">
          <w:marLeft w:val="547"/>
          <w:marRight w:val="0"/>
          <w:marTop w:val="384"/>
          <w:marBottom w:val="115"/>
          <w:divBdr>
            <w:top w:val="none" w:sz="0" w:space="0" w:color="auto"/>
            <w:left w:val="none" w:sz="0" w:space="0" w:color="auto"/>
            <w:bottom w:val="none" w:sz="0" w:space="0" w:color="auto"/>
            <w:right w:val="none" w:sz="0" w:space="0" w:color="auto"/>
          </w:divBdr>
        </w:div>
        <w:div w:id="1817995036">
          <w:marLeft w:val="979"/>
          <w:marRight w:val="0"/>
          <w:marTop w:val="0"/>
          <w:marBottom w:val="67"/>
          <w:divBdr>
            <w:top w:val="none" w:sz="0" w:space="0" w:color="auto"/>
            <w:left w:val="none" w:sz="0" w:space="0" w:color="auto"/>
            <w:bottom w:val="none" w:sz="0" w:space="0" w:color="auto"/>
            <w:right w:val="none" w:sz="0" w:space="0" w:color="auto"/>
          </w:divBdr>
        </w:div>
      </w:divsChild>
    </w:div>
    <w:div w:id="1336571959">
      <w:bodyDiv w:val="1"/>
      <w:marLeft w:val="0"/>
      <w:marRight w:val="0"/>
      <w:marTop w:val="0"/>
      <w:marBottom w:val="0"/>
      <w:divBdr>
        <w:top w:val="none" w:sz="0" w:space="0" w:color="auto"/>
        <w:left w:val="none" w:sz="0" w:space="0" w:color="auto"/>
        <w:bottom w:val="none" w:sz="0" w:space="0" w:color="auto"/>
        <w:right w:val="none" w:sz="0" w:space="0" w:color="auto"/>
      </w:divBdr>
    </w:div>
    <w:div w:id="1352686601">
      <w:bodyDiv w:val="1"/>
      <w:marLeft w:val="0"/>
      <w:marRight w:val="0"/>
      <w:marTop w:val="0"/>
      <w:marBottom w:val="0"/>
      <w:divBdr>
        <w:top w:val="none" w:sz="0" w:space="0" w:color="auto"/>
        <w:left w:val="none" w:sz="0" w:space="0" w:color="auto"/>
        <w:bottom w:val="none" w:sz="0" w:space="0" w:color="auto"/>
        <w:right w:val="none" w:sz="0" w:space="0" w:color="auto"/>
      </w:divBdr>
    </w:div>
    <w:div w:id="1360542091">
      <w:bodyDiv w:val="1"/>
      <w:marLeft w:val="0"/>
      <w:marRight w:val="0"/>
      <w:marTop w:val="0"/>
      <w:marBottom w:val="0"/>
      <w:divBdr>
        <w:top w:val="none" w:sz="0" w:space="0" w:color="auto"/>
        <w:left w:val="none" w:sz="0" w:space="0" w:color="auto"/>
        <w:bottom w:val="none" w:sz="0" w:space="0" w:color="auto"/>
        <w:right w:val="none" w:sz="0" w:space="0" w:color="auto"/>
      </w:divBdr>
    </w:div>
    <w:div w:id="1427531492">
      <w:bodyDiv w:val="1"/>
      <w:marLeft w:val="0"/>
      <w:marRight w:val="0"/>
      <w:marTop w:val="0"/>
      <w:marBottom w:val="0"/>
      <w:divBdr>
        <w:top w:val="none" w:sz="0" w:space="0" w:color="auto"/>
        <w:left w:val="none" w:sz="0" w:space="0" w:color="auto"/>
        <w:bottom w:val="none" w:sz="0" w:space="0" w:color="auto"/>
        <w:right w:val="none" w:sz="0" w:space="0" w:color="auto"/>
      </w:divBdr>
      <w:divsChild>
        <w:div w:id="59251480">
          <w:marLeft w:val="547"/>
          <w:marRight w:val="0"/>
          <w:marTop w:val="384"/>
          <w:marBottom w:val="115"/>
          <w:divBdr>
            <w:top w:val="none" w:sz="0" w:space="0" w:color="auto"/>
            <w:left w:val="none" w:sz="0" w:space="0" w:color="auto"/>
            <w:bottom w:val="none" w:sz="0" w:space="0" w:color="auto"/>
            <w:right w:val="none" w:sz="0" w:space="0" w:color="auto"/>
          </w:divBdr>
        </w:div>
        <w:div w:id="2107655715">
          <w:marLeft w:val="979"/>
          <w:marRight w:val="0"/>
          <w:marTop w:val="0"/>
          <w:marBottom w:val="67"/>
          <w:divBdr>
            <w:top w:val="none" w:sz="0" w:space="0" w:color="auto"/>
            <w:left w:val="none" w:sz="0" w:space="0" w:color="auto"/>
            <w:bottom w:val="none" w:sz="0" w:space="0" w:color="auto"/>
            <w:right w:val="none" w:sz="0" w:space="0" w:color="auto"/>
          </w:divBdr>
        </w:div>
        <w:div w:id="7415608">
          <w:marLeft w:val="979"/>
          <w:marRight w:val="0"/>
          <w:marTop w:val="0"/>
          <w:marBottom w:val="67"/>
          <w:divBdr>
            <w:top w:val="none" w:sz="0" w:space="0" w:color="auto"/>
            <w:left w:val="none" w:sz="0" w:space="0" w:color="auto"/>
            <w:bottom w:val="none" w:sz="0" w:space="0" w:color="auto"/>
            <w:right w:val="none" w:sz="0" w:space="0" w:color="auto"/>
          </w:divBdr>
        </w:div>
        <w:div w:id="1762798732">
          <w:marLeft w:val="1267"/>
          <w:marRight w:val="0"/>
          <w:marTop w:val="0"/>
          <w:marBottom w:val="58"/>
          <w:divBdr>
            <w:top w:val="none" w:sz="0" w:space="0" w:color="auto"/>
            <w:left w:val="none" w:sz="0" w:space="0" w:color="auto"/>
            <w:bottom w:val="none" w:sz="0" w:space="0" w:color="auto"/>
            <w:right w:val="none" w:sz="0" w:space="0" w:color="auto"/>
          </w:divBdr>
        </w:div>
        <w:div w:id="422147949">
          <w:marLeft w:val="1267"/>
          <w:marRight w:val="0"/>
          <w:marTop w:val="0"/>
          <w:marBottom w:val="58"/>
          <w:divBdr>
            <w:top w:val="none" w:sz="0" w:space="0" w:color="auto"/>
            <w:left w:val="none" w:sz="0" w:space="0" w:color="auto"/>
            <w:bottom w:val="none" w:sz="0" w:space="0" w:color="auto"/>
            <w:right w:val="none" w:sz="0" w:space="0" w:color="auto"/>
          </w:divBdr>
        </w:div>
        <w:div w:id="820391295">
          <w:marLeft w:val="979"/>
          <w:marRight w:val="0"/>
          <w:marTop w:val="0"/>
          <w:marBottom w:val="67"/>
          <w:divBdr>
            <w:top w:val="none" w:sz="0" w:space="0" w:color="auto"/>
            <w:left w:val="none" w:sz="0" w:space="0" w:color="auto"/>
            <w:bottom w:val="none" w:sz="0" w:space="0" w:color="auto"/>
            <w:right w:val="none" w:sz="0" w:space="0" w:color="auto"/>
          </w:divBdr>
        </w:div>
        <w:div w:id="547257518">
          <w:marLeft w:val="1267"/>
          <w:marRight w:val="0"/>
          <w:marTop w:val="0"/>
          <w:marBottom w:val="58"/>
          <w:divBdr>
            <w:top w:val="none" w:sz="0" w:space="0" w:color="auto"/>
            <w:left w:val="none" w:sz="0" w:space="0" w:color="auto"/>
            <w:bottom w:val="none" w:sz="0" w:space="0" w:color="auto"/>
            <w:right w:val="none" w:sz="0" w:space="0" w:color="auto"/>
          </w:divBdr>
        </w:div>
        <w:div w:id="2129933188">
          <w:marLeft w:val="1267"/>
          <w:marRight w:val="0"/>
          <w:marTop w:val="0"/>
          <w:marBottom w:val="58"/>
          <w:divBdr>
            <w:top w:val="none" w:sz="0" w:space="0" w:color="auto"/>
            <w:left w:val="none" w:sz="0" w:space="0" w:color="auto"/>
            <w:bottom w:val="none" w:sz="0" w:space="0" w:color="auto"/>
            <w:right w:val="none" w:sz="0" w:space="0" w:color="auto"/>
          </w:divBdr>
        </w:div>
        <w:div w:id="187065567">
          <w:marLeft w:val="979"/>
          <w:marRight w:val="0"/>
          <w:marTop w:val="0"/>
          <w:marBottom w:val="67"/>
          <w:divBdr>
            <w:top w:val="none" w:sz="0" w:space="0" w:color="auto"/>
            <w:left w:val="none" w:sz="0" w:space="0" w:color="auto"/>
            <w:bottom w:val="none" w:sz="0" w:space="0" w:color="auto"/>
            <w:right w:val="none" w:sz="0" w:space="0" w:color="auto"/>
          </w:divBdr>
        </w:div>
        <w:div w:id="1782064581">
          <w:marLeft w:val="547"/>
          <w:marRight w:val="0"/>
          <w:marTop w:val="0"/>
          <w:marBottom w:val="115"/>
          <w:divBdr>
            <w:top w:val="none" w:sz="0" w:space="0" w:color="auto"/>
            <w:left w:val="none" w:sz="0" w:space="0" w:color="auto"/>
            <w:bottom w:val="none" w:sz="0" w:space="0" w:color="auto"/>
            <w:right w:val="none" w:sz="0" w:space="0" w:color="auto"/>
          </w:divBdr>
        </w:div>
        <w:div w:id="388193485">
          <w:marLeft w:val="979"/>
          <w:marRight w:val="0"/>
          <w:marTop w:val="0"/>
          <w:marBottom w:val="67"/>
          <w:divBdr>
            <w:top w:val="none" w:sz="0" w:space="0" w:color="auto"/>
            <w:left w:val="none" w:sz="0" w:space="0" w:color="auto"/>
            <w:bottom w:val="none" w:sz="0" w:space="0" w:color="auto"/>
            <w:right w:val="none" w:sz="0" w:space="0" w:color="auto"/>
          </w:divBdr>
        </w:div>
        <w:div w:id="688218833">
          <w:marLeft w:val="979"/>
          <w:marRight w:val="0"/>
          <w:marTop w:val="0"/>
          <w:marBottom w:val="67"/>
          <w:divBdr>
            <w:top w:val="none" w:sz="0" w:space="0" w:color="auto"/>
            <w:left w:val="none" w:sz="0" w:space="0" w:color="auto"/>
            <w:bottom w:val="none" w:sz="0" w:space="0" w:color="auto"/>
            <w:right w:val="none" w:sz="0" w:space="0" w:color="auto"/>
          </w:divBdr>
        </w:div>
        <w:div w:id="1782414568">
          <w:marLeft w:val="979"/>
          <w:marRight w:val="0"/>
          <w:marTop w:val="0"/>
          <w:marBottom w:val="67"/>
          <w:divBdr>
            <w:top w:val="none" w:sz="0" w:space="0" w:color="auto"/>
            <w:left w:val="none" w:sz="0" w:space="0" w:color="auto"/>
            <w:bottom w:val="none" w:sz="0" w:space="0" w:color="auto"/>
            <w:right w:val="none" w:sz="0" w:space="0" w:color="auto"/>
          </w:divBdr>
        </w:div>
        <w:div w:id="1558203446">
          <w:marLeft w:val="979"/>
          <w:marRight w:val="0"/>
          <w:marTop w:val="0"/>
          <w:marBottom w:val="67"/>
          <w:divBdr>
            <w:top w:val="none" w:sz="0" w:space="0" w:color="auto"/>
            <w:left w:val="none" w:sz="0" w:space="0" w:color="auto"/>
            <w:bottom w:val="none" w:sz="0" w:space="0" w:color="auto"/>
            <w:right w:val="none" w:sz="0" w:space="0" w:color="auto"/>
          </w:divBdr>
        </w:div>
      </w:divsChild>
    </w:div>
    <w:div w:id="1506287173">
      <w:bodyDiv w:val="1"/>
      <w:marLeft w:val="0"/>
      <w:marRight w:val="0"/>
      <w:marTop w:val="0"/>
      <w:marBottom w:val="0"/>
      <w:divBdr>
        <w:top w:val="none" w:sz="0" w:space="0" w:color="auto"/>
        <w:left w:val="none" w:sz="0" w:space="0" w:color="auto"/>
        <w:bottom w:val="none" w:sz="0" w:space="0" w:color="auto"/>
        <w:right w:val="none" w:sz="0" w:space="0" w:color="auto"/>
      </w:divBdr>
      <w:divsChild>
        <w:div w:id="1375346752">
          <w:marLeft w:val="979"/>
          <w:marRight w:val="0"/>
          <w:marTop w:val="0"/>
          <w:marBottom w:val="67"/>
          <w:divBdr>
            <w:top w:val="none" w:sz="0" w:space="0" w:color="auto"/>
            <w:left w:val="none" w:sz="0" w:space="0" w:color="auto"/>
            <w:bottom w:val="none" w:sz="0" w:space="0" w:color="auto"/>
            <w:right w:val="none" w:sz="0" w:space="0" w:color="auto"/>
          </w:divBdr>
        </w:div>
      </w:divsChild>
    </w:div>
    <w:div w:id="1545825579">
      <w:bodyDiv w:val="1"/>
      <w:marLeft w:val="0"/>
      <w:marRight w:val="0"/>
      <w:marTop w:val="0"/>
      <w:marBottom w:val="0"/>
      <w:divBdr>
        <w:top w:val="none" w:sz="0" w:space="0" w:color="auto"/>
        <w:left w:val="none" w:sz="0" w:space="0" w:color="auto"/>
        <w:bottom w:val="none" w:sz="0" w:space="0" w:color="auto"/>
        <w:right w:val="none" w:sz="0" w:space="0" w:color="auto"/>
      </w:divBdr>
    </w:div>
    <w:div w:id="1631133389">
      <w:bodyDiv w:val="1"/>
      <w:marLeft w:val="0"/>
      <w:marRight w:val="0"/>
      <w:marTop w:val="0"/>
      <w:marBottom w:val="0"/>
      <w:divBdr>
        <w:top w:val="none" w:sz="0" w:space="0" w:color="auto"/>
        <w:left w:val="none" w:sz="0" w:space="0" w:color="auto"/>
        <w:bottom w:val="none" w:sz="0" w:space="0" w:color="auto"/>
        <w:right w:val="none" w:sz="0" w:space="0" w:color="auto"/>
      </w:divBdr>
      <w:divsChild>
        <w:div w:id="1260411673">
          <w:marLeft w:val="547"/>
          <w:marRight w:val="0"/>
          <w:marTop w:val="384"/>
          <w:marBottom w:val="115"/>
          <w:divBdr>
            <w:top w:val="none" w:sz="0" w:space="0" w:color="auto"/>
            <w:left w:val="none" w:sz="0" w:space="0" w:color="auto"/>
            <w:bottom w:val="none" w:sz="0" w:space="0" w:color="auto"/>
            <w:right w:val="none" w:sz="0" w:space="0" w:color="auto"/>
          </w:divBdr>
        </w:div>
        <w:div w:id="983965897">
          <w:marLeft w:val="979"/>
          <w:marRight w:val="0"/>
          <w:marTop w:val="0"/>
          <w:marBottom w:val="67"/>
          <w:divBdr>
            <w:top w:val="none" w:sz="0" w:space="0" w:color="auto"/>
            <w:left w:val="none" w:sz="0" w:space="0" w:color="auto"/>
            <w:bottom w:val="none" w:sz="0" w:space="0" w:color="auto"/>
            <w:right w:val="none" w:sz="0" w:space="0" w:color="auto"/>
          </w:divBdr>
        </w:div>
      </w:divsChild>
    </w:div>
    <w:div w:id="1644235793">
      <w:bodyDiv w:val="1"/>
      <w:marLeft w:val="0"/>
      <w:marRight w:val="0"/>
      <w:marTop w:val="0"/>
      <w:marBottom w:val="0"/>
      <w:divBdr>
        <w:top w:val="none" w:sz="0" w:space="0" w:color="auto"/>
        <w:left w:val="none" w:sz="0" w:space="0" w:color="auto"/>
        <w:bottom w:val="none" w:sz="0" w:space="0" w:color="auto"/>
        <w:right w:val="none" w:sz="0" w:space="0" w:color="auto"/>
      </w:divBdr>
    </w:div>
    <w:div w:id="1650670088">
      <w:bodyDiv w:val="1"/>
      <w:marLeft w:val="0"/>
      <w:marRight w:val="0"/>
      <w:marTop w:val="0"/>
      <w:marBottom w:val="0"/>
      <w:divBdr>
        <w:top w:val="none" w:sz="0" w:space="0" w:color="auto"/>
        <w:left w:val="none" w:sz="0" w:space="0" w:color="auto"/>
        <w:bottom w:val="none" w:sz="0" w:space="0" w:color="auto"/>
        <w:right w:val="none" w:sz="0" w:space="0" w:color="auto"/>
      </w:divBdr>
    </w:div>
    <w:div w:id="1737049737">
      <w:bodyDiv w:val="1"/>
      <w:marLeft w:val="0"/>
      <w:marRight w:val="0"/>
      <w:marTop w:val="0"/>
      <w:marBottom w:val="0"/>
      <w:divBdr>
        <w:top w:val="none" w:sz="0" w:space="0" w:color="auto"/>
        <w:left w:val="none" w:sz="0" w:space="0" w:color="auto"/>
        <w:bottom w:val="none" w:sz="0" w:space="0" w:color="auto"/>
        <w:right w:val="none" w:sz="0" w:space="0" w:color="auto"/>
      </w:divBdr>
    </w:div>
    <w:div w:id="1821924323">
      <w:bodyDiv w:val="1"/>
      <w:marLeft w:val="0"/>
      <w:marRight w:val="0"/>
      <w:marTop w:val="0"/>
      <w:marBottom w:val="0"/>
      <w:divBdr>
        <w:top w:val="none" w:sz="0" w:space="0" w:color="auto"/>
        <w:left w:val="none" w:sz="0" w:space="0" w:color="auto"/>
        <w:bottom w:val="none" w:sz="0" w:space="0" w:color="auto"/>
        <w:right w:val="none" w:sz="0" w:space="0" w:color="auto"/>
      </w:divBdr>
    </w:div>
    <w:div w:id="1843279677">
      <w:bodyDiv w:val="1"/>
      <w:marLeft w:val="0"/>
      <w:marRight w:val="0"/>
      <w:marTop w:val="0"/>
      <w:marBottom w:val="0"/>
      <w:divBdr>
        <w:top w:val="none" w:sz="0" w:space="0" w:color="auto"/>
        <w:left w:val="none" w:sz="0" w:space="0" w:color="auto"/>
        <w:bottom w:val="none" w:sz="0" w:space="0" w:color="auto"/>
        <w:right w:val="none" w:sz="0" w:space="0" w:color="auto"/>
      </w:divBdr>
    </w:div>
    <w:div w:id="1880584477">
      <w:bodyDiv w:val="1"/>
      <w:marLeft w:val="0"/>
      <w:marRight w:val="0"/>
      <w:marTop w:val="0"/>
      <w:marBottom w:val="0"/>
      <w:divBdr>
        <w:top w:val="none" w:sz="0" w:space="0" w:color="auto"/>
        <w:left w:val="none" w:sz="0" w:space="0" w:color="auto"/>
        <w:bottom w:val="none" w:sz="0" w:space="0" w:color="auto"/>
        <w:right w:val="none" w:sz="0" w:space="0" w:color="auto"/>
      </w:divBdr>
    </w:div>
    <w:div w:id="2057923754">
      <w:bodyDiv w:val="1"/>
      <w:marLeft w:val="0"/>
      <w:marRight w:val="0"/>
      <w:marTop w:val="0"/>
      <w:marBottom w:val="0"/>
      <w:divBdr>
        <w:top w:val="none" w:sz="0" w:space="0" w:color="auto"/>
        <w:left w:val="none" w:sz="0" w:space="0" w:color="auto"/>
        <w:bottom w:val="none" w:sz="0" w:space="0" w:color="auto"/>
        <w:right w:val="none" w:sz="0" w:space="0" w:color="auto"/>
      </w:divBdr>
    </w:div>
    <w:div w:id="20894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Thème Offic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de stage de fin d’étude au sein du département de financements d’actifs en financements structurés de la Société Générale CIB.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470F2-733C-4356-9F57-66D93E0E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5061</Words>
  <Characters>27838</Characters>
  <Application>Microsoft Office Word</Application>
  <DocSecurity>0</DocSecurity>
  <Lines>231</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Stage</vt:lpstr>
      <vt:lpstr>Rapport de Stage</vt:lpstr>
    </vt:vector>
  </TitlesOfParts>
  <Company>Master ii gestion financiere</Company>
  <LinksUpToDate>false</LinksUpToDate>
  <CharactersWithSpaces>32834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Société Générale Corporate &amp; Investment Banking</dc:subject>
  <dc:creator>Bilel OUALI</dc:creator>
  <cp:lastModifiedBy>rafik</cp:lastModifiedBy>
  <cp:revision>2</cp:revision>
  <dcterms:created xsi:type="dcterms:W3CDTF">2017-09-17T11:10:00Z</dcterms:created>
  <dcterms:modified xsi:type="dcterms:W3CDTF">2017-09-17T11:10:00Z</dcterms:modified>
</cp:coreProperties>
</file>