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D1B2A"/>
          <w:sz w:val="44"/>
          <w:szCs w:val="44"/>
        </w:rPr>
        <w:t xml:space="preserve">IKIRERE ORBITAL LABS AFRICA</w:t>
      </w:r>
    </w:p>
    <w:p>
      <w:pPr>
        <w:pBdr>
          <w:bottom w:val="single" w:color="00897B" w:sz="5" w:space="6"/>
        </w:pBdr>
        <w:spacing w:after="60"/>
      </w:pPr>
      <w:r>
        <w:rPr>
          <w:rFonts w:ascii="Arial" w:cs="Arial" w:eastAsia="Arial" w:hAnsi="Arial"/>
          <w:i/>
          <w:iCs/>
          <w:color w:val="00897B"/>
          <w:sz w:val="26"/>
          <w:szCs w:val="26"/>
        </w:rPr>
        <w:t xml:space="preserve">May 2026 — Goals, Applications &amp; Deadlines</w:t>
      </w:r>
    </w:p>
    <w:p>
      <w:pPr>
        <w:spacing w:after="40" w:before="60"/>
      </w:pPr>
    </w:p>
    <w:p>
      <w:pPr>
        <w:spacing w:after="60" w:line="276"/>
      </w:pPr>
      <w:r>
        <w:rPr>
          <w:rFonts w:ascii="Arial" w:cs="Arial" w:eastAsia="Arial" w:hAnsi="Arial"/>
          <w:b w:val="false"/>
          <w:bCs w:val="false"/>
          <w:i w:val="false"/>
          <w:iCs w:val="false"/>
          <w:color w:val="1F2937"/>
          <w:sz w:val="21"/>
          <w:szCs w:val="21"/>
        </w:rPr>
        <w:t xml:space="preserve">This document covers everything IOLA is pursuing in May 2026. The focus is outreach, fundraising applications, and investor relations. Engineering and research have their own roadmap. This is purely the capital and network side.</w:t>
      </w:r>
    </w:p>
    <w:p>
      <w:pPr>
        <w:spacing w:after="60" w:line="276"/>
      </w:pPr>
      <w:r>
        <w:rPr>
          <w:rFonts w:ascii="Arial" w:cs="Arial" w:eastAsia="Arial" w:hAnsi="Arial"/>
          <w:b w:val="false"/>
          <w:bCs w:val="false"/>
          <w:i w:val="false"/>
          <w:iCs w:val="false"/>
          <w:color w:val="1F2937"/>
          <w:sz w:val="21"/>
          <w:szCs w:val="21"/>
        </w:rPr>
        <w:t xml:space="preserve">Every item has a deadline and a priority level. Critical means it is blocking something else or has a hard date. High means it moves the needle significantly. Medium means it is worth doing but does not stop the world if it slips a week.</w:t>
      </w:r>
    </w:p>
    <w:p>
      <w:pPr>
        <w:spacing w:after="80" w:before="60"/>
      </w:pPr>
    </w:p>
    <w:p>
      <w:pPr>
        <w:pBdr>
          <w:bottom w:val="single" w:color="00897B" w:sz="4" w:space="4"/>
        </w:pBdr>
        <w:spacing w:after="120" w:before="340"/>
      </w:pPr>
      <w:r>
        <w:rPr>
          <w:rFonts w:ascii="Arial" w:cs="Arial" w:eastAsia="Arial" w:hAnsi="Arial"/>
          <w:b/>
          <w:bCs/>
          <w:color w:val="00897B"/>
          <w:spacing w:val="40"/>
          <w:sz w:val="18"/>
          <w:szCs w:val="18"/>
        </w:rPr>
        <w:t xml:space="preserve">1. ACCELERATOR APPLICATIONS</w:t>
      </w:r>
    </w:p>
    <w:p>
      <w:pPr>
        <w:spacing w:after="40" w:before="4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400"/>
        <w:gridCol w:w="1320"/>
        <w:gridCol w:w="2400"/>
      </w:tblGrid>
      <w:tr>
        <w:tc>
          <w:tcPr>
            <w:tcW w:type="dxa" w:w="2200"/>
            <w:tcBorders>
              <w:top w:val="single" w:color="00897B" w:sz="1"/>
              <w:left w:val="single" w:color="00897B" w:sz="1"/>
              <w:bottom w:val="single" w:color="00897B" w:sz="1"/>
              <w:right w:val="single" w:color="00897B" w:sz="1"/>
            </w:tcBorders>
            <w:shd w:fill="00897B" w:val="clear"/>
            <w:tcMar>
              <w:top w:type="dxa" w:w="100"/>
              <w:left w:type="dxa" w:w="160"/>
              <w:bottom w:type="dxa" w:w="100"/>
              <w:right w:type="dxa" w:w="160"/>
            </w:tcMar>
          </w:tcPr>
          <w:p>
            <w:r>
              <w:rPr>
                <w:rFonts w:ascii="Arial" w:cs="Arial" w:eastAsia="Arial" w:hAnsi="Arial"/>
                <w:b/>
                <w:bCs/>
                <w:color w:val="FFFFFF"/>
                <w:sz w:val="19"/>
                <w:szCs w:val="19"/>
              </w:rPr>
              <w:t xml:space="preserve">Accelerator</w:t>
            </w:r>
          </w:p>
        </w:tc>
        <w:tc>
          <w:tcPr>
            <w:tcW w:type="dxa" w:w="2400"/>
            <w:tcBorders>
              <w:top w:val="single" w:color="00897B" w:sz="1"/>
              <w:left w:val="single" w:color="00897B" w:sz="1"/>
              <w:bottom w:val="single" w:color="00897B" w:sz="1"/>
              <w:right w:val="single" w:color="00897B" w:sz="1"/>
            </w:tcBorders>
            <w:shd w:fill="00897B" w:val="clear"/>
            <w:tcMar>
              <w:top w:type="dxa" w:w="100"/>
              <w:left w:type="dxa" w:w="160"/>
              <w:bottom w:type="dxa" w:w="100"/>
              <w:right w:type="dxa" w:w="160"/>
            </w:tcMar>
          </w:tcPr>
          <w:p>
            <w:r>
              <w:rPr>
                <w:rFonts w:ascii="Arial" w:cs="Arial" w:eastAsia="Arial" w:hAnsi="Arial"/>
                <w:b/>
                <w:bCs/>
                <w:color w:val="FFFFFF"/>
                <w:sz w:val="19"/>
                <w:szCs w:val="19"/>
              </w:rPr>
              <w:t xml:space="preserve">What They Fund</w:t>
            </w:r>
          </w:p>
        </w:tc>
        <w:tc>
          <w:tcPr>
            <w:tcW w:type="dxa" w:w="1400"/>
            <w:tcBorders>
              <w:top w:val="single" w:color="00897B" w:sz="1"/>
              <w:left w:val="single" w:color="00897B" w:sz="1"/>
              <w:bottom w:val="single" w:color="00897B" w:sz="1"/>
              <w:right w:val="single" w:color="00897B" w:sz="1"/>
            </w:tcBorders>
            <w:shd w:fill="00897B" w:val="clear"/>
            <w:tcMar>
              <w:top w:type="dxa" w:w="100"/>
              <w:left w:type="dxa" w:w="160"/>
              <w:bottom w:type="dxa" w:w="100"/>
              <w:right w:type="dxa" w:w="160"/>
            </w:tcMar>
          </w:tcPr>
          <w:p>
            <w:r>
              <w:rPr>
                <w:rFonts w:ascii="Arial" w:cs="Arial" w:eastAsia="Arial" w:hAnsi="Arial"/>
                <w:b/>
                <w:bCs/>
                <w:color w:val="FFFFFF"/>
                <w:sz w:val="19"/>
                <w:szCs w:val="19"/>
              </w:rPr>
              <w:t xml:space="preserve">Amount</w:t>
            </w:r>
          </w:p>
        </w:tc>
        <w:tc>
          <w:tcPr>
            <w:tcW w:type="dxa" w:w="1320"/>
            <w:tcBorders>
              <w:top w:val="single" w:color="00897B" w:sz="1"/>
              <w:left w:val="single" w:color="00897B" w:sz="1"/>
              <w:bottom w:val="single" w:color="00897B" w:sz="1"/>
              <w:right w:val="single" w:color="00897B" w:sz="1"/>
            </w:tcBorders>
            <w:shd w:fill="00897B" w:val="clear"/>
            <w:tcMar>
              <w:top w:type="dxa" w:w="100"/>
              <w:left w:type="dxa" w:w="160"/>
              <w:bottom w:type="dxa" w:w="100"/>
              <w:right w:type="dxa" w:w="160"/>
            </w:tcMar>
          </w:tcPr>
          <w:p>
            <w:r>
              <w:rPr>
                <w:rFonts w:ascii="Arial" w:cs="Arial" w:eastAsia="Arial" w:hAnsi="Arial"/>
                <w:b/>
                <w:bCs/>
                <w:color w:val="FFFFFF"/>
                <w:sz w:val="19"/>
                <w:szCs w:val="19"/>
              </w:rPr>
              <w:t xml:space="preserve">Deadline</w:t>
            </w:r>
          </w:p>
        </w:tc>
        <w:tc>
          <w:tcPr>
            <w:tcW w:type="dxa" w:w="2400"/>
            <w:tcBorders>
              <w:top w:val="single" w:color="00897B" w:sz="1"/>
              <w:left w:val="single" w:color="00897B" w:sz="1"/>
              <w:bottom w:val="single" w:color="00897B" w:sz="1"/>
              <w:right w:val="single" w:color="00897B" w:sz="1"/>
            </w:tcBorders>
            <w:shd w:fill="00897B" w:val="clear"/>
            <w:tcMar>
              <w:top w:type="dxa" w:w="100"/>
              <w:left w:type="dxa" w:w="160"/>
              <w:bottom w:type="dxa" w:w="100"/>
              <w:right w:type="dxa" w:w="160"/>
            </w:tcMar>
          </w:tcPr>
          <w:p>
            <w:r>
              <w:rPr>
                <w:rFonts w:ascii="Arial" w:cs="Arial" w:eastAsia="Arial" w:hAnsi="Arial"/>
                <w:b/>
                <w:bCs/>
                <w:color w:val="FFFFFF"/>
                <w:sz w:val="19"/>
                <w:szCs w:val="19"/>
              </w:rPr>
              <w:t xml:space="preserve">Priority / Notes</w:t>
            </w:r>
          </w:p>
        </w:tc>
      </w:tr>
      <w:tr>
        <w:tc>
          <w:tcPr>
            <w:tcW w:type="dxa" w:w="220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pPr>
              <w:spacing w:after="0"/>
            </w:pPr>
            <w:r>
              <w:rPr>
                <w:rFonts w:ascii="Arial" w:cs="Arial" w:eastAsia="Arial" w:hAnsi="Arial"/>
                <w:b/>
                <w:bCs/>
                <w:color w:val="1F2937"/>
                <w:sz w:val="19"/>
                <w:szCs w:val="19"/>
              </w:rPr>
              <w:t xml:space="preserve">Black Flag</w:t>
            </w:r>
          </w:p>
        </w:tc>
        <w:tc>
          <w:tcPr>
            <w:tcW w:type="dxa" w:w="240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Defense, space, hardware, infrastructure. Backed by Palantir, Anthropic, xAI, OpenAI founders.</w:t>
            </w:r>
          </w:p>
        </w:tc>
        <w:tc>
          <w:tcPr>
            <w:tcW w:type="dxa" w:w="140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pPr>
              <w:spacing w:after="0"/>
            </w:pPr>
            <w:r>
              <w:rPr>
                <w:rFonts w:ascii="Arial" w:cs="Arial" w:eastAsia="Arial" w:hAnsi="Arial"/>
                <w:b/>
                <w:bCs/>
                <w:color w:val="00897B"/>
                <w:sz w:val="19"/>
                <w:szCs w:val="19"/>
              </w:rPr>
              <w:t xml:space="preserve">$2M – $3M</w:t>
            </w:r>
          </w:p>
        </w:tc>
        <w:tc>
          <w:tcPr>
            <w:tcW w:type="dxa" w:w="132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Rolling — apply by May 2</w:t>
            </w:r>
          </w:p>
        </w:tc>
        <w:tc>
          <w:tcPr>
            <w:tcW w:type="dxa" w:w="2400"/>
            <w:tcBorders>
              <w:top w:val="single" w:color="D1FAE5" w:sz="1"/>
              <w:left w:val="single" w:color="D1FAE5" w:sz="1"/>
              <w:bottom w:val="single" w:color="D1FAE5" w:sz="1"/>
              <w:right w:val="single" w:color="D1FAE5" w:sz="1"/>
            </w:tcBorders>
            <w:shd w:fill="FEE2E2" w:val="clear"/>
            <w:tcMar>
              <w:top w:type="dxa" w:w="80"/>
              <w:left w:type="dxa" w:w="160"/>
              <w:bottom w:type="dxa" w:w="80"/>
              <w:right w:type="dxa" w:w="160"/>
            </w:tcMar>
          </w:tcPr>
          <w:p>
            <w:pPr>
              <w:jc w:val="center"/>
            </w:pPr>
            <w:r>
              <w:rPr>
                <w:rFonts w:ascii="Arial" w:cs="Arial" w:eastAsia="Arial" w:hAnsi="Arial"/>
                <w:b/>
                <w:bCs/>
                <w:color w:val="991B1B"/>
                <w:sz w:val="17"/>
                <w:szCs w:val="17"/>
              </w:rPr>
              <w:t xml:space="preserve">CRITICAL</w:t>
            </w:r>
          </w:p>
        </w:tc>
      </w:tr>
      <w:tr>
        <w:tc>
          <w:tcPr>
            <w:tcW w:type="dxa" w:w="2200"/>
            <w:tcBorders>
              <w:top w:val="single" w:color="D1FAE5" w:sz="1"/>
              <w:left w:val="single" w:color="D1FAE5" w:sz="1"/>
              <w:bottom w:val="single" w:color="D1FAE5" w:sz="1"/>
              <w:right w:val="single" w:color="D1FAE5" w:sz="1"/>
            </w:tcBorders>
            <w:shd w:fill="EEF7F6" w:val="clear"/>
            <w:tcMar>
              <w:top w:type="dxa" w:w="80"/>
              <w:left w:type="dxa" w:w="160"/>
              <w:bottom w:type="dxa" w:w="80"/>
              <w:right w:type="dxa" w:w="160"/>
            </w:tcMar>
          </w:tcPr>
          <w:p>
            <w:pPr>
              <w:spacing w:after="0"/>
            </w:pPr>
            <w:r>
              <w:rPr>
                <w:rFonts w:ascii="Arial" w:cs="Arial" w:eastAsia="Arial" w:hAnsi="Arial"/>
                <w:b/>
                <w:bCs/>
                <w:color w:val="1F2937"/>
                <w:sz w:val="19"/>
                <w:szCs w:val="19"/>
              </w:rPr>
              <w:t xml:space="preserve">LVL UP Labs</w:t>
            </w:r>
          </w:p>
        </w:tc>
        <w:tc>
          <w:tcPr>
            <w:tcW w:type="dxa" w:w="2400"/>
            <w:tcBorders>
              <w:top w:val="single" w:color="D1FAE5" w:sz="1"/>
              <w:left w:val="single" w:color="D1FAE5" w:sz="1"/>
              <w:bottom w:val="single" w:color="D1FAE5" w:sz="1"/>
              <w:right w:val="single" w:color="D1FAE5" w:sz="1"/>
            </w:tcBorders>
            <w:shd w:fill="EEF7F6"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AI, deep tech, and infrastructure startups. $250K + perks (OpenAI, Anthropic credits). Jason previously accepted.</w:t>
            </w:r>
          </w:p>
        </w:tc>
        <w:tc>
          <w:tcPr>
            <w:tcW w:type="dxa" w:w="1400"/>
            <w:tcBorders>
              <w:top w:val="single" w:color="D1FAE5" w:sz="1"/>
              <w:left w:val="single" w:color="D1FAE5" w:sz="1"/>
              <w:bottom w:val="single" w:color="D1FAE5" w:sz="1"/>
              <w:right w:val="single" w:color="D1FAE5" w:sz="1"/>
            </w:tcBorders>
            <w:shd w:fill="EEF7F6" w:val="clear"/>
            <w:tcMar>
              <w:top w:type="dxa" w:w="80"/>
              <w:left w:type="dxa" w:w="160"/>
              <w:bottom w:type="dxa" w:w="80"/>
              <w:right w:type="dxa" w:w="160"/>
            </w:tcMar>
          </w:tcPr>
          <w:p>
            <w:pPr>
              <w:spacing w:after="0"/>
            </w:pPr>
            <w:r>
              <w:rPr>
                <w:rFonts w:ascii="Arial" w:cs="Arial" w:eastAsia="Arial" w:hAnsi="Arial"/>
                <w:b/>
                <w:bCs/>
                <w:color w:val="00897B"/>
                <w:sz w:val="19"/>
                <w:szCs w:val="19"/>
              </w:rPr>
              <w:t xml:space="preserve">$250K + perks</w:t>
            </w:r>
          </w:p>
        </w:tc>
        <w:tc>
          <w:tcPr>
            <w:tcW w:type="dxa" w:w="1320"/>
            <w:tcBorders>
              <w:top w:val="single" w:color="D1FAE5" w:sz="1"/>
              <w:left w:val="single" w:color="D1FAE5" w:sz="1"/>
              <w:bottom w:val="single" w:color="D1FAE5" w:sz="1"/>
              <w:right w:val="single" w:color="D1FAE5" w:sz="1"/>
            </w:tcBorders>
            <w:shd w:fill="EEF7F6"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ASAP after Delaware</w:t>
            </w:r>
          </w:p>
        </w:tc>
        <w:tc>
          <w:tcPr>
            <w:tcW w:type="dxa" w:w="2400"/>
            <w:tcBorders>
              <w:top w:val="single" w:color="D1FAE5" w:sz="1"/>
              <w:left w:val="single" w:color="D1FAE5" w:sz="1"/>
              <w:bottom w:val="single" w:color="D1FAE5" w:sz="1"/>
              <w:right w:val="single" w:color="D1FAE5" w:sz="1"/>
            </w:tcBorders>
            <w:shd w:fill="FEE2E2" w:val="clear"/>
            <w:tcMar>
              <w:top w:type="dxa" w:w="80"/>
              <w:left w:type="dxa" w:w="160"/>
              <w:bottom w:type="dxa" w:w="80"/>
              <w:right w:type="dxa" w:w="160"/>
            </w:tcMar>
          </w:tcPr>
          <w:p>
            <w:pPr>
              <w:jc w:val="center"/>
            </w:pPr>
            <w:r>
              <w:rPr>
                <w:rFonts w:ascii="Arial" w:cs="Arial" w:eastAsia="Arial" w:hAnsi="Arial"/>
                <w:b/>
                <w:bCs/>
                <w:color w:val="991B1B"/>
                <w:sz w:val="17"/>
                <w:szCs w:val="17"/>
              </w:rPr>
              <w:t xml:space="preserve">CRITICAL</w:t>
            </w:r>
          </w:p>
        </w:tc>
      </w:tr>
      <w:tr>
        <w:tc>
          <w:tcPr>
            <w:tcW w:type="dxa" w:w="220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pPr>
              <w:spacing w:after="0"/>
            </w:pPr>
            <w:r>
              <w:rPr>
                <w:rFonts w:ascii="Arial" w:cs="Arial" w:eastAsia="Arial" w:hAnsi="Arial"/>
                <w:b/>
                <w:bCs/>
                <w:color w:val="1F2937"/>
                <w:sz w:val="19"/>
                <w:szCs w:val="19"/>
              </w:rPr>
              <w:t xml:space="preserve">Techstars Europe</w:t>
            </w:r>
          </w:p>
        </w:tc>
        <w:tc>
          <w:tcPr>
            <w:tcW w:type="dxa" w:w="240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Deep tech, space, manufacturing. Europe-based cohort with strong investor network.</w:t>
            </w:r>
          </w:p>
        </w:tc>
        <w:tc>
          <w:tcPr>
            <w:tcW w:type="dxa" w:w="140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Varies</w:t>
            </w:r>
          </w:p>
        </w:tc>
        <w:tc>
          <w:tcPr>
            <w:tcW w:type="dxa" w:w="132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June 10 — draft by May 9</w:t>
            </w:r>
          </w:p>
        </w:tc>
        <w:tc>
          <w:tcPr>
            <w:tcW w:type="dxa" w:w="2400"/>
            <w:tcBorders>
              <w:top w:val="single" w:color="D1FAE5" w:sz="1"/>
              <w:left w:val="single" w:color="D1FAE5" w:sz="1"/>
              <w:bottom w:val="single" w:color="D1FAE5" w:sz="1"/>
              <w:right w:val="single" w:color="D1FAE5" w:sz="1"/>
            </w:tcBorders>
            <w:shd w:fill="FEF3C7" w:val="clear"/>
            <w:tcMar>
              <w:top w:type="dxa" w:w="80"/>
              <w:left w:type="dxa" w:w="160"/>
              <w:bottom w:type="dxa" w:w="80"/>
              <w:right w:type="dxa" w:w="160"/>
            </w:tcMar>
          </w:tcPr>
          <w:p>
            <w:pPr>
              <w:jc w:val="center"/>
            </w:pPr>
            <w:r>
              <w:rPr>
                <w:rFonts w:ascii="Arial" w:cs="Arial" w:eastAsia="Arial" w:hAnsi="Arial"/>
                <w:b/>
                <w:bCs/>
                <w:color w:val="92400E"/>
                <w:sz w:val="17"/>
                <w:szCs w:val="17"/>
              </w:rPr>
              <w:t xml:space="preserve">HIGH</w:t>
            </w:r>
          </w:p>
        </w:tc>
      </w:tr>
      <w:tr>
        <w:tc>
          <w:tcPr>
            <w:tcW w:type="dxa" w:w="2200"/>
            <w:tcBorders>
              <w:top w:val="single" w:color="D1FAE5" w:sz="1"/>
              <w:left w:val="single" w:color="D1FAE5" w:sz="1"/>
              <w:bottom w:val="single" w:color="D1FAE5" w:sz="1"/>
              <w:right w:val="single" w:color="D1FAE5" w:sz="1"/>
            </w:tcBorders>
            <w:shd w:fill="EEF7F6" w:val="clear"/>
            <w:tcMar>
              <w:top w:type="dxa" w:w="80"/>
              <w:left w:type="dxa" w:w="160"/>
              <w:bottom w:type="dxa" w:w="80"/>
              <w:right w:type="dxa" w:w="160"/>
            </w:tcMar>
          </w:tcPr>
          <w:p>
            <w:pPr>
              <w:spacing w:after="0"/>
            </w:pPr>
            <w:r>
              <w:rPr>
                <w:rFonts w:ascii="Arial" w:cs="Arial" w:eastAsia="Arial" w:hAnsi="Arial"/>
                <w:b/>
                <w:bCs/>
                <w:color w:val="1F2937"/>
                <w:sz w:val="19"/>
                <w:szCs w:val="19"/>
              </w:rPr>
              <w:t xml:space="preserve">Speedrun</w:t>
            </w:r>
          </w:p>
        </w:tc>
        <w:tc>
          <w:tcPr>
            <w:tcW w:type="dxa" w:w="2400"/>
            <w:tcBorders>
              <w:top w:val="single" w:color="D1FAE5" w:sz="1"/>
              <w:left w:val="single" w:color="D1FAE5" w:sz="1"/>
              <w:bottom w:val="single" w:color="D1FAE5" w:sz="1"/>
              <w:right w:val="single" w:color="D1FAE5" w:sz="1"/>
            </w:tcBorders>
            <w:shd w:fill="EEF7F6"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High-growth startups. Significant buzz around current cohort. Applied before — reapply with updated deck.</w:t>
            </w:r>
          </w:p>
        </w:tc>
        <w:tc>
          <w:tcPr>
            <w:tcW w:type="dxa" w:w="1400"/>
            <w:tcBorders>
              <w:top w:val="single" w:color="D1FAE5" w:sz="1"/>
              <w:left w:val="single" w:color="D1FAE5" w:sz="1"/>
              <w:bottom w:val="single" w:color="D1FAE5" w:sz="1"/>
              <w:right w:val="single" w:color="D1FAE5" w:sz="1"/>
            </w:tcBorders>
            <w:shd w:fill="EEF7F6"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Varies</w:t>
            </w:r>
          </w:p>
        </w:tc>
        <w:tc>
          <w:tcPr>
            <w:tcW w:type="dxa" w:w="1320"/>
            <w:tcBorders>
              <w:top w:val="single" w:color="D1FAE5" w:sz="1"/>
              <w:left w:val="single" w:color="D1FAE5" w:sz="1"/>
              <w:bottom w:val="single" w:color="D1FAE5" w:sz="1"/>
              <w:right w:val="single" w:color="D1FAE5" w:sz="1"/>
            </w:tcBorders>
            <w:shd w:fill="EEF7F6"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Apply this week</w:t>
            </w:r>
          </w:p>
        </w:tc>
        <w:tc>
          <w:tcPr>
            <w:tcW w:type="dxa" w:w="2400"/>
            <w:tcBorders>
              <w:top w:val="single" w:color="D1FAE5" w:sz="1"/>
              <w:left w:val="single" w:color="D1FAE5" w:sz="1"/>
              <w:bottom w:val="single" w:color="D1FAE5" w:sz="1"/>
              <w:right w:val="single" w:color="D1FAE5" w:sz="1"/>
            </w:tcBorders>
            <w:shd w:fill="FEF3C7" w:val="clear"/>
            <w:tcMar>
              <w:top w:type="dxa" w:w="80"/>
              <w:left w:type="dxa" w:w="160"/>
              <w:bottom w:type="dxa" w:w="80"/>
              <w:right w:type="dxa" w:w="160"/>
            </w:tcMar>
          </w:tcPr>
          <w:p>
            <w:pPr>
              <w:jc w:val="center"/>
            </w:pPr>
            <w:r>
              <w:rPr>
                <w:rFonts w:ascii="Arial" w:cs="Arial" w:eastAsia="Arial" w:hAnsi="Arial"/>
                <w:b/>
                <w:bCs/>
                <w:color w:val="92400E"/>
                <w:sz w:val="17"/>
                <w:szCs w:val="17"/>
              </w:rPr>
              <w:t xml:space="preserve">HIGH</w:t>
            </w:r>
          </w:p>
        </w:tc>
      </w:tr>
      <w:tr>
        <w:tc>
          <w:tcPr>
            <w:tcW w:type="dxa" w:w="220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pPr>
              <w:spacing w:after="0"/>
            </w:pPr>
            <w:r>
              <w:rPr>
                <w:rFonts w:ascii="Arial" w:cs="Arial" w:eastAsia="Arial" w:hAnsi="Arial"/>
                <w:b/>
                <w:bCs/>
                <w:color w:val="1F2937"/>
                <w:sz w:val="19"/>
                <w:szCs w:val="19"/>
              </w:rPr>
              <w:t xml:space="preserve">Generation Space</w:t>
            </w:r>
          </w:p>
        </w:tc>
        <w:tc>
          <w:tcPr>
            <w:tcW w:type="dxa" w:w="240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SpaceX-level aerospace ventures. Rockets, satellites, space infrastructure. Up to $10B fund.</w:t>
            </w:r>
          </w:p>
        </w:tc>
        <w:tc>
          <w:tcPr>
            <w:tcW w:type="dxa" w:w="140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Varies</w:t>
            </w:r>
          </w:p>
        </w:tc>
        <w:tc>
          <w:tcPr>
            <w:tcW w:type="dxa" w:w="132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May 15</w:t>
            </w:r>
          </w:p>
        </w:tc>
        <w:tc>
          <w:tcPr>
            <w:tcW w:type="dxa" w:w="2400"/>
            <w:tcBorders>
              <w:top w:val="single" w:color="D1FAE5" w:sz="1"/>
              <w:left w:val="single" w:color="D1FAE5" w:sz="1"/>
              <w:bottom w:val="single" w:color="D1FAE5" w:sz="1"/>
              <w:right w:val="single" w:color="D1FAE5" w:sz="1"/>
            </w:tcBorders>
            <w:shd w:fill="DBEAFE" w:val="clear"/>
            <w:tcMar>
              <w:top w:type="dxa" w:w="80"/>
              <w:left w:type="dxa" w:w="160"/>
              <w:bottom w:type="dxa" w:w="80"/>
              <w:right w:type="dxa" w:w="160"/>
            </w:tcMar>
          </w:tcPr>
          <w:p>
            <w:pPr>
              <w:jc w:val="center"/>
            </w:pPr>
            <w:r>
              <w:rPr>
                <w:rFonts w:ascii="Arial" w:cs="Arial" w:eastAsia="Arial" w:hAnsi="Arial"/>
                <w:b/>
                <w:bCs/>
                <w:color w:val="1E40AF"/>
                <w:sz w:val="17"/>
                <w:szCs w:val="17"/>
              </w:rPr>
              <w:t xml:space="preserve">MEDIUM</w:t>
            </w:r>
          </w:p>
        </w:tc>
      </w:tr>
    </w:tbl>
    <w:p>
      <w:pPr>
        <w:spacing w:after="40" w:before="80"/>
      </w:pPr>
    </w:p>
    <w:p>
      <w:pPr>
        <w:spacing w:after="120" w:line="276"/>
      </w:pPr>
      <w:r>
        <w:rPr>
          <w:rFonts w:ascii="Arial" w:cs="Arial" w:eastAsia="Arial" w:hAnsi="Arial"/>
          <w:b w:val="false"/>
          <w:bCs w:val="false"/>
          <w:i/>
          <w:iCs/>
          <w:color w:val="6B7280"/>
          <w:sz w:val="21"/>
          <w:szCs w:val="21"/>
        </w:rPr>
        <w:t xml:space="preserve">Note on Black Flag: Jason applied previously but positioning was off. The deck is now correct, the product is clearly defined, and the ask is $3M. Apply immediately.</w:t>
      </w:r>
    </w:p>
    <w:p>
      <w:pPr>
        <w:spacing w:after="120" w:line="276"/>
      </w:pPr>
      <w:r>
        <w:rPr>
          <w:rFonts w:ascii="Arial" w:cs="Arial" w:eastAsia="Arial" w:hAnsi="Arial"/>
          <w:b w:val="false"/>
          <w:bCs w:val="false"/>
          <w:i/>
          <w:iCs/>
          <w:color w:val="6B7280"/>
          <w:sz w:val="21"/>
          <w:szCs w:val="21"/>
        </w:rPr>
        <w:t xml:space="preserve">Note on LVL UP Labs: Jason was previously accepted but could not continue due to missing Delaware C-Corp registration. Use Roberto's referral from Italy. Apply the moment registration confirms.</w:t>
      </w:r>
    </w:p>
    <w:p>
      <w:pPr>
        <w:spacing w:after="80" w:before="60"/>
      </w:pPr>
    </w:p>
    <w:p>
      <w:pPr>
        <w:pBdr>
          <w:bottom w:val="single" w:color="00897B" w:sz="4" w:space="4"/>
        </w:pBdr>
        <w:spacing w:after="120" w:before="340"/>
      </w:pPr>
      <w:r>
        <w:rPr>
          <w:rFonts w:ascii="Arial" w:cs="Arial" w:eastAsia="Arial" w:hAnsi="Arial"/>
          <w:b/>
          <w:bCs/>
          <w:color w:val="00897B"/>
          <w:spacing w:val="40"/>
          <w:sz w:val="18"/>
          <w:szCs w:val="18"/>
        </w:rPr>
        <w:t xml:space="preserve">2. GRANT APPLICATIONS</w:t>
      </w:r>
    </w:p>
    <w:p>
      <w:pPr>
        <w:spacing w:after="40" w:before="4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400"/>
        <w:gridCol w:w="1320"/>
        <w:gridCol w:w="2200"/>
      </w:tblGrid>
      <w:tr>
        <w:tc>
          <w:tcPr>
            <w:tcW w:type="dxa" w:w="2200"/>
            <w:tcBorders>
              <w:top w:val="single" w:color="00897B" w:sz="1"/>
              <w:left w:val="single" w:color="00897B" w:sz="1"/>
              <w:bottom w:val="single" w:color="00897B" w:sz="1"/>
              <w:right w:val="single" w:color="00897B" w:sz="1"/>
            </w:tcBorders>
            <w:shd w:fill="00897B" w:val="clear"/>
            <w:tcMar>
              <w:top w:type="dxa" w:w="100"/>
              <w:left w:type="dxa" w:w="160"/>
              <w:bottom w:type="dxa" w:w="100"/>
              <w:right w:type="dxa" w:w="160"/>
            </w:tcMar>
          </w:tcPr>
          <w:p>
            <w:r>
              <w:rPr>
                <w:rFonts w:ascii="Arial" w:cs="Arial" w:eastAsia="Arial" w:hAnsi="Arial"/>
                <w:b/>
                <w:bCs/>
                <w:color w:val="FFFFFF"/>
                <w:sz w:val="19"/>
                <w:szCs w:val="19"/>
              </w:rPr>
              <w:t xml:space="preserve">Grant</w:t>
            </w:r>
          </w:p>
        </w:tc>
        <w:tc>
          <w:tcPr>
            <w:tcW w:type="dxa" w:w="2600"/>
            <w:tcBorders>
              <w:top w:val="single" w:color="00897B" w:sz="1"/>
              <w:left w:val="single" w:color="00897B" w:sz="1"/>
              <w:bottom w:val="single" w:color="00897B" w:sz="1"/>
              <w:right w:val="single" w:color="00897B" w:sz="1"/>
            </w:tcBorders>
            <w:shd w:fill="00897B" w:val="clear"/>
            <w:tcMar>
              <w:top w:type="dxa" w:w="100"/>
              <w:left w:type="dxa" w:w="160"/>
              <w:bottom w:type="dxa" w:w="100"/>
              <w:right w:type="dxa" w:w="160"/>
            </w:tcMar>
          </w:tcPr>
          <w:p>
            <w:r>
              <w:rPr>
                <w:rFonts w:ascii="Arial" w:cs="Arial" w:eastAsia="Arial" w:hAnsi="Arial"/>
                <w:b/>
                <w:bCs/>
                <w:color w:val="FFFFFF"/>
                <w:sz w:val="19"/>
                <w:szCs w:val="19"/>
              </w:rPr>
              <w:t xml:space="preserve">What It Covers</w:t>
            </w:r>
          </w:p>
        </w:tc>
        <w:tc>
          <w:tcPr>
            <w:tcW w:type="dxa" w:w="1400"/>
            <w:tcBorders>
              <w:top w:val="single" w:color="00897B" w:sz="1"/>
              <w:left w:val="single" w:color="00897B" w:sz="1"/>
              <w:bottom w:val="single" w:color="00897B" w:sz="1"/>
              <w:right w:val="single" w:color="00897B" w:sz="1"/>
            </w:tcBorders>
            <w:shd w:fill="00897B" w:val="clear"/>
            <w:tcMar>
              <w:top w:type="dxa" w:w="100"/>
              <w:left w:type="dxa" w:w="160"/>
              <w:bottom w:type="dxa" w:w="100"/>
              <w:right w:type="dxa" w:w="160"/>
            </w:tcMar>
          </w:tcPr>
          <w:p>
            <w:r>
              <w:rPr>
                <w:rFonts w:ascii="Arial" w:cs="Arial" w:eastAsia="Arial" w:hAnsi="Arial"/>
                <w:b/>
                <w:bCs/>
                <w:color w:val="FFFFFF"/>
                <w:sz w:val="19"/>
                <w:szCs w:val="19"/>
              </w:rPr>
              <w:t xml:space="preserve">Amount</w:t>
            </w:r>
          </w:p>
        </w:tc>
        <w:tc>
          <w:tcPr>
            <w:tcW w:type="dxa" w:w="1320"/>
            <w:tcBorders>
              <w:top w:val="single" w:color="00897B" w:sz="1"/>
              <w:left w:val="single" w:color="00897B" w:sz="1"/>
              <w:bottom w:val="single" w:color="00897B" w:sz="1"/>
              <w:right w:val="single" w:color="00897B" w:sz="1"/>
            </w:tcBorders>
            <w:shd w:fill="00897B" w:val="clear"/>
            <w:tcMar>
              <w:top w:type="dxa" w:w="100"/>
              <w:left w:type="dxa" w:w="160"/>
              <w:bottom w:type="dxa" w:w="100"/>
              <w:right w:type="dxa" w:w="160"/>
            </w:tcMar>
          </w:tcPr>
          <w:p>
            <w:r>
              <w:rPr>
                <w:rFonts w:ascii="Arial" w:cs="Arial" w:eastAsia="Arial" w:hAnsi="Arial"/>
                <w:b/>
                <w:bCs/>
                <w:color w:val="FFFFFF"/>
                <w:sz w:val="19"/>
                <w:szCs w:val="19"/>
              </w:rPr>
              <w:t xml:space="preserve">Deadline</w:t>
            </w:r>
          </w:p>
        </w:tc>
        <w:tc>
          <w:tcPr>
            <w:tcW w:type="dxa" w:w="2200"/>
            <w:tcBorders>
              <w:top w:val="single" w:color="00897B" w:sz="1"/>
              <w:left w:val="single" w:color="00897B" w:sz="1"/>
              <w:bottom w:val="single" w:color="00897B" w:sz="1"/>
              <w:right w:val="single" w:color="00897B" w:sz="1"/>
            </w:tcBorders>
            <w:shd w:fill="00897B" w:val="clear"/>
            <w:tcMar>
              <w:top w:type="dxa" w:w="100"/>
              <w:left w:type="dxa" w:w="160"/>
              <w:bottom w:type="dxa" w:w="100"/>
              <w:right w:type="dxa" w:w="160"/>
            </w:tcMar>
          </w:tcPr>
          <w:p>
            <w:r>
              <w:rPr>
                <w:rFonts w:ascii="Arial" w:cs="Arial" w:eastAsia="Arial" w:hAnsi="Arial"/>
                <w:b/>
                <w:bCs/>
                <w:color w:val="FFFFFF"/>
                <w:sz w:val="19"/>
                <w:szCs w:val="19"/>
              </w:rPr>
              <w:t xml:space="preserve">Status / Priority</w:t>
            </w:r>
          </w:p>
        </w:tc>
      </w:tr>
      <w:tr>
        <w:tc>
          <w:tcPr>
            <w:tcW w:type="dxa" w:w="220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pPr>
              <w:spacing w:after="0"/>
            </w:pPr>
            <w:r>
              <w:rPr>
                <w:rFonts w:ascii="Arial" w:cs="Arial" w:eastAsia="Arial" w:hAnsi="Arial"/>
                <w:b/>
                <w:bCs/>
                <w:color w:val="1F2937"/>
                <w:sz w:val="19"/>
                <w:szCs w:val="19"/>
              </w:rPr>
              <w:t xml:space="preserve">ESA Kick-starts</w:t>
            </w:r>
          </w:p>
        </w:tc>
        <w:tc>
          <w:tcPr>
            <w:tcW w:type="dxa" w:w="260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Non-dilutive. For startups using space assets. Submit via Alph (Germany entity). IOLA qualifies through Alph's ESA member state eligibility.</w:t>
            </w:r>
          </w:p>
        </w:tc>
        <w:tc>
          <w:tcPr>
            <w:tcW w:type="dxa" w:w="140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pPr>
              <w:spacing w:after="0"/>
            </w:pPr>
            <w:r>
              <w:rPr>
                <w:rFonts w:ascii="Arial" w:cs="Arial" w:eastAsia="Arial" w:hAnsi="Arial"/>
                <w:b/>
                <w:bCs/>
                <w:color w:val="00897B"/>
                <w:sz w:val="19"/>
                <w:szCs w:val="19"/>
              </w:rPr>
              <w:t xml:space="preserve">Up to €75,000</w:t>
            </w:r>
          </w:p>
        </w:tc>
        <w:tc>
          <w:tcPr>
            <w:tcW w:type="dxa" w:w="132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May 29 — HARD DEADLINE</w:t>
            </w:r>
          </w:p>
        </w:tc>
        <w:tc>
          <w:tcPr>
            <w:tcW w:type="dxa" w:w="2200"/>
            <w:tcBorders>
              <w:top w:val="single" w:color="D1FAE5" w:sz="1"/>
              <w:left w:val="single" w:color="D1FAE5" w:sz="1"/>
              <w:bottom w:val="single" w:color="D1FAE5" w:sz="1"/>
              <w:right w:val="single" w:color="D1FAE5" w:sz="1"/>
            </w:tcBorders>
            <w:shd w:fill="FEE2E2" w:val="clear"/>
            <w:tcMar>
              <w:top w:type="dxa" w:w="80"/>
              <w:left w:type="dxa" w:w="160"/>
              <w:bottom w:type="dxa" w:w="80"/>
              <w:right w:type="dxa" w:w="160"/>
            </w:tcMar>
          </w:tcPr>
          <w:p>
            <w:pPr>
              <w:jc w:val="center"/>
            </w:pPr>
            <w:r>
              <w:rPr>
                <w:rFonts w:ascii="Arial" w:cs="Arial" w:eastAsia="Arial" w:hAnsi="Arial"/>
                <w:b/>
                <w:bCs/>
                <w:color w:val="991B1B"/>
                <w:sz w:val="17"/>
                <w:szCs w:val="17"/>
              </w:rPr>
              <w:t xml:space="preserve">CRITICAL</w:t>
            </w:r>
          </w:p>
        </w:tc>
      </w:tr>
      <w:tr>
        <w:tc>
          <w:tcPr>
            <w:tcW w:type="dxa" w:w="2200"/>
            <w:tcBorders>
              <w:top w:val="single" w:color="D1FAE5" w:sz="1"/>
              <w:left w:val="single" w:color="D1FAE5" w:sz="1"/>
              <w:bottom w:val="single" w:color="D1FAE5" w:sz="1"/>
              <w:right w:val="single" w:color="D1FAE5" w:sz="1"/>
            </w:tcBorders>
            <w:shd w:fill="EEF7F6" w:val="clear"/>
            <w:tcMar>
              <w:top w:type="dxa" w:w="80"/>
              <w:left w:type="dxa" w:w="160"/>
              <w:bottom w:type="dxa" w:w="80"/>
              <w:right w:type="dxa" w:w="160"/>
            </w:tcMar>
          </w:tcPr>
          <w:p>
            <w:pPr>
              <w:spacing w:after="0"/>
            </w:pPr>
            <w:r>
              <w:rPr>
                <w:rFonts w:ascii="Arial" w:cs="Arial" w:eastAsia="Arial" w:hAnsi="Arial"/>
                <w:b/>
                <w:bCs/>
                <w:color w:val="1F2937"/>
                <w:sz w:val="19"/>
                <w:szCs w:val="19"/>
              </w:rPr>
              <w:t xml:space="preserve">Deep Learning Indaba Grants</w:t>
            </w:r>
          </w:p>
        </w:tc>
        <w:tc>
          <w:tcPr>
            <w:tcW w:type="dxa" w:w="2600"/>
            <w:tcBorders>
              <w:top w:val="single" w:color="D1FAE5" w:sz="1"/>
              <w:left w:val="single" w:color="D1FAE5" w:sz="1"/>
              <w:bottom w:val="single" w:color="D1FAE5" w:sz="1"/>
              <w:right w:val="single" w:color="D1FAE5" w:sz="1"/>
            </w:tcBorders>
            <w:shd w:fill="EEF7F6"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Research and AI grants. Warm relationship. Won 2025 Ideathon. Public support offered by leadership.</w:t>
            </w:r>
          </w:p>
        </w:tc>
        <w:tc>
          <w:tcPr>
            <w:tcW w:type="dxa" w:w="1400"/>
            <w:tcBorders>
              <w:top w:val="single" w:color="D1FAE5" w:sz="1"/>
              <w:left w:val="single" w:color="D1FAE5" w:sz="1"/>
              <w:bottom w:val="single" w:color="D1FAE5" w:sz="1"/>
              <w:right w:val="single" w:color="D1FAE5" w:sz="1"/>
            </w:tcBorders>
            <w:shd w:fill="EEF7F6"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Varies</w:t>
            </w:r>
          </w:p>
        </w:tc>
        <w:tc>
          <w:tcPr>
            <w:tcW w:type="dxa" w:w="1320"/>
            <w:tcBorders>
              <w:top w:val="single" w:color="D1FAE5" w:sz="1"/>
              <w:left w:val="single" w:color="D1FAE5" w:sz="1"/>
              <w:bottom w:val="single" w:color="D1FAE5" w:sz="1"/>
              <w:right w:val="single" w:color="D1FAE5" w:sz="1"/>
            </w:tcBorders>
            <w:shd w:fill="EEF7F6"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TBD — reach out May 1</w:t>
            </w:r>
          </w:p>
        </w:tc>
        <w:tc>
          <w:tcPr>
            <w:tcW w:type="dxa" w:w="2200"/>
            <w:tcBorders>
              <w:top w:val="single" w:color="D1FAE5" w:sz="1"/>
              <w:left w:val="single" w:color="D1FAE5" w:sz="1"/>
              <w:bottom w:val="single" w:color="D1FAE5" w:sz="1"/>
              <w:right w:val="single" w:color="D1FAE5" w:sz="1"/>
            </w:tcBorders>
            <w:shd w:fill="FEF3C7" w:val="clear"/>
            <w:tcMar>
              <w:top w:type="dxa" w:w="80"/>
              <w:left w:type="dxa" w:w="160"/>
              <w:bottom w:type="dxa" w:w="80"/>
              <w:right w:type="dxa" w:w="160"/>
            </w:tcMar>
          </w:tcPr>
          <w:p>
            <w:pPr>
              <w:jc w:val="center"/>
            </w:pPr>
            <w:r>
              <w:rPr>
                <w:rFonts w:ascii="Arial" w:cs="Arial" w:eastAsia="Arial" w:hAnsi="Arial"/>
                <w:b/>
                <w:bCs/>
                <w:color w:val="92400E"/>
                <w:sz w:val="17"/>
                <w:szCs w:val="17"/>
              </w:rPr>
              <w:t xml:space="preserve">HIGH</w:t>
            </w:r>
          </w:p>
        </w:tc>
      </w:tr>
      <w:tr>
        <w:tc>
          <w:tcPr>
            <w:tcW w:type="dxa" w:w="220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pPr>
              <w:spacing w:after="0"/>
            </w:pPr>
            <w:r>
              <w:rPr>
                <w:rFonts w:ascii="Arial" w:cs="Arial" w:eastAsia="Arial" w:hAnsi="Arial"/>
                <w:b/>
                <w:bCs/>
                <w:color w:val="1F2937"/>
                <w:sz w:val="19"/>
                <w:szCs w:val="19"/>
              </w:rPr>
              <w:t xml:space="preserve">Google for Startups</w:t>
            </w:r>
          </w:p>
        </w:tc>
        <w:tc>
          <w:tcPr>
            <w:tcW w:type="dxa" w:w="260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Cloud compute credits + mentorship. Already active. Renew and expand access for simulation engine.</w:t>
            </w:r>
          </w:p>
        </w:tc>
        <w:tc>
          <w:tcPr>
            <w:tcW w:type="dxa" w:w="140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Cloud credits</w:t>
            </w:r>
          </w:p>
        </w:tc>
        <w:tc>
          <w:tcPr>
            <w:tcW w:type="dxa" w:w="132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Rolling</w:t>
            </w:r>
          </w:p>
        </w:tc>
        <w:tc>
          <w:tcPr>
            <w:tcW w:type="dxa" w:w="2200"/>
            <w:tcBorders>
              <w:top w:val="single" w:color="D1FAE5" w:sz="1"/>
              <w:left w:val="single" w:color="D1FAE5" w:sz="1"/>
              <w:bottom w:val="single" w:color="D1FAE5" w:sz="1"/>
              <w:right w:val="single" w:color="D1FAE5" w:sz="1"/>
            </w:tcBorders>
            <w:shd w:fill="D1FAE5" w:val="clear"/>
            <w:tcMar>
              <w:top w:type="dxa" w:w="80"/>
              <w:left w:type="dxa" w:w="160"/>
              <w:bottom w:type="dxa" w:w="80"/>
              <w:right w:type="dxa" w:w="160"/>
            </w:tcMar>
          </w:tcPr>
          <w:p>
            <w:pPr>
              <w:jc w:val="center"/>
            </w:pPr>
            <w:r>
              <w:rPr>
                <w:rFonts w:ascii="Arial" w:cs="Arial" w:eastAsia="Arial" w:hAnsi="Arial"/>
                <w:b/>
                <w:bCs/>
                <w:color w:val="065F46"/>
                <w:sz w:val="17"/>
                <w:szCs w:val="17"/>
              </w:rPr>
              <w:t xml:space="preserve">DONE</w:t>
            </w:r>
          </w:p>
        </w:tc>
      </w:tr>
      <w:tr>
        <w:tc>
          <w:tcPr>
            <w:tcW w:type="dxa" w:w="2200"/>
            <w:tcBorders>
              <w:top w:val="single" w:color="D1FAE5" w:sz="1"/>
              <w:left w:val="single" w:color="D1FAE5" w:sz="1"/>
              <w:bottom w:val="single" w:color="D1FAE5" w:sz="1"/>
              <w:right w:val="single" w:color="D1FAE5" w:sz="1"/>
            </w:tcBorders>
            <w:shd w:fill="EEF7F6" w:val="clear"/>
            <w:tcMar>
              <w:top w:type="dxa" w:w="80"/>
              <w:left w:type="dxa" w:w="160"/>
              <w:bottom w:type="dxa" w:w="80"/>
              <w:right w:type="dxa" w:w="160"/>
            </w:tcMar>
          </w:tcPr>
          <w:p>
            <w:pPr>
              <w:spacing w:after="0"/>
            </w:pPr>
            <w:r>
              <w:rPr>
                <w:rFonts w:ascii="Arial" w:cs="Arial" w:eastAsia="Arial" w:hAnsi="Arial"/>
                <w:b/>
                <w:bCs/>
                <w:color w:val="1F2937"/>
                <w:sz w:val="19"/>
                <w:szCs w:val="19"/>
              </w:rPr>
              <w:t xml:space="preserve">Nvidia Inception</w:t>
            </w:r>
          </w:p>
        </w:tc>
        <w:tc>
          <w:tcPr>
            <w:tcW w:type="dxa" w:w="2600"/>
            <w:tcBorders>
              <w:top w:val="single" w:color="D1FAE5" w:sz="1"/>
              <w:left w:val="single" w:color="D1FAE5" w:sz="1"/>
              <w:bottom w:val="single" w:color="D1FAE5" w:sz="1"/>
              <w:right w:val="single" w:color="D1FAE5" w:sz="1"/>
            </w:tcBorders>
            <w:shd w:fill="EEF7F6"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GPU credits for RL training. Already active. IkirereMesh training depends on this.</w:t>
            </w:r>
          </w:p>
        </w:tc>
        <w:tc>
          <w:tcPr>
            <w:tcW w:type="dxa" w:w="1400"/>
            <w:tcBorders>
              <w:top w:val="single" w:color="D1FAE5" w:sz="1"/>
              <w:left w:val="single" w:color="D1FAE5" w:sz="1"/>
              <w:bottom w:val="single" w:color="D1FAE5" w:sz="1"/>
              <w:right w:val="single" w:color="D1FAE5" w:sz="1"/>
            </w:tcBorders>
            <w:shd w:fill="EEF7F6"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GPU credits</w:t>
            </w:r>
          </w:p>
        </w:tc>
        <w:tc>
          <w:tcPr>
            <w:tcW w:type="dxa" w:w="1320"/>
            <w:tcBorders>
              <w:top w:val="single" w:color="D1FAE5" w:sz="1"/>
              <w:left w:val="single" w:color="D1FAE5" w:sz="1"/>
              <w:bottom w:val="single" w:color="D1FAE5" w:sz="1"/>
              <w:right w:val="single" w:color="D1FAE5" w:sz="1"/>
            </w:tcBorders>
            <w:shd w:fill="EEF7F6"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Rolling</w:t>
            </w:r>
          </w:p>
        </w:tc>
        <w:tc>
          <w:tcPr>
            <w:tcW w:type="dxa" w:w="2200"/>
            <w:tcBorders>
              <w:top w:val="single" w:color="D1FAE5" w:sz="1"/>
              <w:left w:val="single" w:color="D1FAE5" w:sz="1"/>
              <w:bottom w:val="single" w:color="D1FAE5" w:sz="1"/>
              <w:right w:val="single" w:color="D1FAE5" w:sz="1"/>
            </w:tcBorders>
            <w:shd w:fill="D1FAE5" w:val="clear"/>
            <w:tcMar>
              <w:top w:type="dxa" w:w="80"/>
              <w:left w:type="dxa" w:w="160"/>
              <w:bottom w:type="dxa" w:w="80"/>
              <w:right w:type="dxa" w:w="160"/>
            </w:tcMar>
          </w:tcPr>
          <w:p>
            <w:pPr>
              <w:jc w:val="center"/>
            </w:pPr>
            <w:r>
              <w:rPr>
                <w:rFonts w:ascii="Arial" w:cs="Arial" w:eastAsia="Arial" w:hAnsi="Arial"/>
                <w:b/>
                <w:bCs/>
                <w:color w:val="065F46"/>
                <w:sz w:val="17"/>
                <w:szCs w:val="17"/>
              </w:rPr>
              <w:t xml:space="preserve">DONE</w:t>
            </w:r>
          </w:p>
        </w:tc>
      </w:tr>
    </w:tbl>
    <w:p>
      <w:pPr>
        <w:spacing w:after="80" w:before="60"/>
      </w:pPr>
    </w:p>
    <w:p>
      <w:pPr>
        <w:pBdr>
          <w:bottom w:val="single" w:color="00897B" w:sz="4" w:space="4"/>
        </w:pBdr>
        <w:spacing w:after="120" w:before="340"/>
      </w:pPr>
      <w:r>
        <w:rPr>
          <w:rFonts w:ascii="Arial" w:cs="Arial" w:eastAsia="Arial" w:hAnsi="Arial"/>
          <w:b/>
          <w:bCs/>
          <w:color w:val="00897B"/>
          <w:spacing w:val="40"/>
          <w:sz w:val="18"/>
          <w:szCs w:val="18"/>
        </w:rPr>
        <w:t xml:space="preserve">3. INVESTOR &amp; CAPITAL OUTREACH</w:t>
      </w:r>
    </w:p>
    <w:p>
      <w:pPr>
        <w:spacing w:after="40" w:before="4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120"/>
        <w:gridCol w:w="1600"/>
        <w:gridCol w:w="1600"/>
      </w:tblGrid>
      <w:tr>
        <w:tc>
          <w:tcPr>
            <w:tcW w:type="dxa" w:w="2000"/>
            <w:tcBorders>
              <w:top w:val="single" w:color="00897B" w:sz="1"/>
              <w:left w:val="single" w:color="00897B" w:sz="1"/>
              <w:bottom w:val="single" w:color="00897B" w:sz="1"/>
              <w:right w:val="single" w:color="00897B" w:sz="1"/>
            </w:tcBorders>
            <w:shd w:fill="00897B" w:val="clear"/>
            <w:tcMar>
              <w:top w:type="dxa" w:w="100"/>
              <w:left w:type="dxa" w:w="160"/>
              <w:bottom w:type="dxa" w:w="100"/>
              <w:right w:type="dxa" w:w="160"/>
            </w:tcMar>
          </w:tcPr>
          <w:p>
            <w:r>
              <w:rPr>
                <w:rFonts w:ascii="Arial" w:cs="Arial" w:eastAsia="Arial" w:hAnsi="Arial"/>
                <w:b/>
                <w:bCs/>
                <w:color w:val="FFFFFF"/>
                <w:sz w:val="19"/>
                <w:szCs w:val="19"/>
              </w:rPr>
              <w:t xml:space="preserve">Contact</w:t>
            </w:r>
          </w:p>
        </w:tc>
        <w:tc>
          <w:tcPr>
            <w:tcW w:type="dxa" w:w="2400"/>
            <w:tcBorders>
              <w:top w:val="single" w:color="00897B" w:sz="1"/>
              <w:left w:val="single" w:color="00897B" w:sz="1"/>
              <w:bottom w:val="single" w:color="00897B" w:sz="1"/>
              <w:right w:val="single" w:color="00897B" w:sz="1"/>
            </w:tcBorders>
            <w:shd w:fill="00897B" w:val="clear"/>
            <w:tcMar>
              <w:top w:type="dxa" w:w="100"/>
              <w:left w:type="dxa" w:w="160"/>
              <w:bottom w:type="dxa" w:w="100"/>
              <w:right w:type="dxa" w:w="160"/>
            </w:tcMar>
          </w:tcPr>
          <w:p>
            <w:r>
              <w:rPr>
                <w:rFonts w:ascii="Arial" w:cs="Arial" w:eastAsia="Arial" w:hAnsi="Arial"/>
                <w:b/>
                <w:bCs/>
                <w:color w:val="FFFFFF"/>
                <w:sz w:val="19"/>
                <w:szCs w:val="19"/>
              </w:rPr>
              <w:t xml:space="preserve">Who They Are</w:t>
            </w:r>
          </w:p>
        </w:tc>
        <w:tc>
          <w:tcPr>
            <w:tcW w:type="dxa" w:w="2120"/>
            <w:tcBorders>
              <w:top w:val="single" w:color="00897B" w:sz="1"/>
              <w:left w:val="single" w:color="00897B" w:sz="1"/>
              <w:bottom w:val="single" w:color="00897B" w:sz="1"/>
              <w:right w:val="single" w:color="00897B" w:sz="1"/>
            </w:tcBorders>
            <w:shd w:fill="00897B" w:val="clear"/>
            <w:tcMar>
              <w:top w:type="dxa" w:w="100"/>
              <w:left w:type="dxa" w:w="160"/>
              <w:bottom w:type="dxa" w:w="100"/>
              <w:right w:type="dxa" w:w="160"/>
            </w:tcMar>
          </w:tcPr>
          <w:p>
            <w:r>
              <w:rPr>
                <w:rFonts w:ascii="Arial" w:cs="Arial" w:eastAsia="Arial" w:hAnsi="Arial"/>
                <w:b/>
                <w:bCs/>
                <w:color w:val="FFFFFF"/>
                <w:sz w:val="19"/>
                <w:szCs w:val="19"/>
              </w:rPr>
              <w:t xml:space="preserve">Next Action</w:t>
            </w:r>
          </w:p>
        </w:tc>
        <w:tc>
          <w:tcPr>
            <w:tcW w:type="dxa" w:w="1600"/>
            <w:tcBorders>
              <w:top w:val="single" w:color="00897B" w:sz="1"/>
              <w:left w:val="single" w:color="00897B" w:sz="1"/>
              <w:bottom w:val="single" w:color="00897B" w:sz="1"/>
              <w:right w:val="single" w:color="00897B" w:sz="1"/>
            </w:tcBorders>
            <w:shd w:fill="00897B" w:val="clear"/>
            <w:tcMar>
              <w:top w:type="dxa" w:w="100"/>
              <w:left w:type="dxa" w:w="160"/>
              <w:bottom w:type="dxa" w:w="100"/>
              <w:right w:type="dxa" w:w="160"/>
            </w:tcMar>
          </w:tcPr>
          <w:p>
            <w:r>
              <w:rPr>
                <w:rFonts w:ascii="Arial" w:cs="Arial" w:eastAsia="Arial" w:hAnsi="Arial"/>
                <w:b/>
                <w:bCs/>
                <w:color w:val="FFFFFF"/>
                <w:sz w:val="19"/>
                <w:szCs w:val="19"/>
              </w:rPr>
              <w:t xml:space="preserve">By When</w:t>
            </w:r>
          </w:p>
        </w:tc>
        <w:tc>
          <w:tcPr>
            <w:tcW w:type="dxa" w:w="1600"/>
            <w:tcBorders>
              <w:top w:val="single" w:color="00897B" w:sz="1"/>
              <w:left w:val="single" w:color="00897B" w:sz="1"/>
              <w:bottom w:val="single" w:color="00897B" w:sz="1"/>
              <w:right w:val="single" w:color="00897B" w:sz="1"/>
            </w:tcBorders>
            <w:shd w:fill="00897B" w:val="clear"/>
            <w:tcMar>
              <w:top w:type="dxa" w:w="100"/>
              <w:left w:type="dxa" w:w="160"/>
              <w:bottom w:type="dxa" w:w="100"/>
              <w:right w:type="dxa" w:w="160"/>
            </w:tcMar>
          </w:tcPr>
          <w:p>
            <w:r>
              <w:rPr>
                <w:rFonts w:ascii="Arial" w:cs="Arial" w:eastAsia="Arial" w:hAnsi="Arial"/>
                <w:b/>
                <w:bCs/>
                <w:color w:val="FFFFFF"/>
                <w:sz w:val="19"/>
                <w:szCs w:val="19"/>
              </w:rPr>
              <w:t xml:space="preserve">Priority</w:t>
            </w:r>
          </w:p>
        </w:tc>
      </w:tr>
      <w:tr>
        <w:tc>
          <w:tcPr>
            <w:tcW w:type="dxa" w:w="200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pPr>
              <w:spacing w:after="0"/>
            </w:pPr>
            <w:r>
              <w:rPr>
                <w:rFonts w:ascii="Arial" w:cs="Arial" w:eastAsia="Arial" w:hAnsi="Arial"/>
                <w:b/>
                <w:bCs/>
                <w:color w:val="1F2937"/>
                <w:sz w:val="19"/>
                <w:szCs w:val="19"/>
              </w:rPr>
              <w:t xml:space="preserve">Michael Daley</w:t>
            </w:r>
          </w:p>
        </w:tc>
        <w:tc>
          <w:tcPr>
            <w:tcW w:type="dxa" w:w="240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Silicon Valley-based financial advisor and connector. Created Africa Space Race WhatsApp group. Moira (SRI International) and Vijay in the group.</w:t>
            </w:r>
          </w:p>
        </w:tc>
        <w:tc>
          <w:tcPr>
            <w:tcW w:type="dxa" w:w="212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Arrange Zoom call with Moira from SRI. Wait for Michael to lead in the group.</w:t>
            </w:r>
          </w:p>
        </w:tc>
        <w:tc>
          <w:tcPr>
            <w:tcW w:type="dxa" w:w="160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This week</w:t>
            </w:r>
          </w:p>
        </w:tc>
        <w:tc>
          <w:tcPr>
            <w:tcW w:type="dxa" w:w="1600"/>
            <w:tcBorders>
              <w:top w:val="single" w:color="D1FAE5" w:sz="1"/>
              <w:left w:val="single" w:color="D1FAE5" w:sz="1"/>
              <w:bottom w:val="single" w:color="D1FAE5" w:sz="1"/>
              <w:right w:val="single" w:color="D1FAE5" w:sz="1"/>
            </w:tcBorders>
            <w:shd w:fill="FEE2E2" w:val="clear"/>
            <w:tcMar>
              <w:top w:type="dxa" w:w="80"/>
              <w:left w:type="dxa" w:w="160"/>
              <w:bottom w:type="dxa" w:w="80"/>
              <w:right w:type="dxa" w:w="160"/>
            </w:tcMar>
          </w:tcPr>
          <w:p>
            <w:pPr>
              <w:jc w:val="center"/>
            </w:pPr>
            <w:r>
              <w:rPr>
                <w:rFonts w:ascii="Arial" w:cs="Arial" w:eastAsia="Arial" w:hAnsi="Arial"/>
                <w:b/>
                <w:bCs/>
                <w:color w:val="991B1B"/>
                <w:sz w:val="17"/>
                <w:szCs w:val="17"/>
              </w:rPr>
              <w:t xml:space="preserve">CRITICAL</w:t>
            </w:r>
          </w:p>
        </w:tc>
      </w:tr>
      <w:tr>
        <w:tc>
          <w:tcPr>
            <w:tcW w:type="dxa" w:w="2000"/>
            <w:tcBorders>
              <w:top w:val="single" w:color="D1FAE5" w:sz="1"/>
              <w:left w:val="single" w:color="D1FAE5" w:sz="1"/>
              <w:bottom w:val="single" w:color="D1FAE5" w:sz="1"/>
              <w:right w:val="single" w:color="D1FAE5" w:sz="1"/>
            </w:tcBorders>
            <w:shd w:fill="EEF7F6" w:val="clear"/>
            <w:tcMar>
              <w:top w:type="dxa" w:w="80"/>
              <w:left w:type="dxa" w:w="160"/>
              <w:bottom w:type="dxa" w:w="80"/>
              <w:right w:type="dxa" w:w="160"/>
            </w:tcMar>
          </w:tcPr>
          <w:p>
            <w:pPr>
              <w:spacing w:after="0"/>
            </w:pPr>
            <w:r>
              <w:rPr>
                <w:rFonts w:ascii="Arial" w:cs="Arial" w:eastAsia="Arial" w:hAnsi="Arial"/>
                <w:b/>
                <w:bCs/>
                <w:color w:val="1F2937"/>
                <w:sz w:val="19"/>
                <w:szCs w:val="19"/>
              </w:rPr>
              <w:t xml:space="preserve">Parsa (Spark)</w:t>
            </w:r>
          </w:p>
        </w:tc>
        <w:tc>
          <w:tcPr>
            <w:tcW w:type="dxa" w:w="2400"/>
            <w:tcBorders>
              <w:top w:val="single" w:color="D1FAE5" w:sz="1"/>
              <w:left w:val="single" w:color="D1FAE5" w:sz="1"/>
              <w:bottom w:val="single" w:color="D1FAE5" w:sz="1"/>
              <w:right w:val="single" w:color="D1FAE5" w:sz="1"/>
            </w:tcBorders>
            <w:shd w:fill="EEF7F6"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CEO of Spark, Vancouver. 500-person geospatial and defense tech company. Has ISRO contact and investor intros in NY and LA.</w:t>
            </w:r>
          </w:p>
        </w:tc>
        <w:tc>
          <w:tcPr>
            <w:tcW w:type="dxa" w:w="2120"/>
            <w:tcBorders>
              <w:top w:val="single" w:color="D1FAE5" w:sz="1"/>
              <w:left w:val="single" w:color="D1FAE5" w:sz="1"/>
              <w:bottom w:val="single" w:color="D1FAE5" w:sz="1"/>
              <w:right w:val="single" w:color="D1FAE5" w:sz="1"/>
            </w:tcBorders>
            <w:shd w:fill="EEF7F6"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Send IOLA_PreSeed_Deck_May_2026.pdf now. He is waiting.</w:t>
            </w:r>
          </w:p>
        </w:tc>
        <w:tc>
          <w:tcPr>
            <w:tcW w:type="dxa" w:w="1600"/>
            <w:tcBorders>
              <w:top w:val="single" w:color="D1FAE5" w:sz="1"/>
              <w:left w:val="single" w:color="D1FAE5" w:sz="1"/>
              <w:bottom w:val="single" w:color="D1FAE5" w:sz="1"/>
              <w:right w:val="single" w:color="D1FAE5" w:sz="1"/>
            </w:tcBorders>
            <w:shd w:fill="EEF7F6"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Immediately</w:t>
            </w:r>
          </w:p>
        </w:tc>
        <w:tc>
          <w:tcPr>
            <w:tcW w:type="dxa" w:w="1600"/>
            <w:tcBorders>
              <w:top w:val="single" w:color="D1FAE5" w:sz="1"/>
              <w:left w:val="single" w:color="D1FAE5" w:sz="1"/>
              <w:bottom w:val="single" w:color="D1FAE5" w:sz="1"/>
              <w:right w:val="single" w:color="D1FAE5" w:sz="1"/>
            </w:tcBorders>
            <w:shd w:fill="FEE2E2" w:val="clear"/>
            <w:tcMar>
              <w:top w:type="dxa" w:w="80"/>
              <w:left w:type="dxa" w:w="160"/>
              <w:bottom w:type="dxa" w:w="80"/>
              <w:right w:type="dxa" w:w="160"/>
            </w:tcMar>
          </w:tcPr>
          <w:p>
            <w:pPr>
              <w:jc w:val="center"/>
            </w:pPr>
            <w:r>
              <w:rPr>
                <w:rFonts w:ascii="Arial" w:cs="Arial" w:eastAsia="Arial" w:hAnsi="Arial"/>
                <w:b/>
                <w:bCs/>
                <w:color w:val="991B1B"/>
                <w:sz w:val="17"/>
                <w:szCs w:val="17"/>
              </w:rPr>
              <w:t xml:space="preserve">CRITICAL</w:t>
            </w:r>
          </w:p>
        </w:tc>
      </w:tr>
      <w:tr>
        <w:tc>
          <w:tcPr>
            <w:tcW w:type="dxa" w:w="200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pPr>
              <w:spacing w:after="0"/>
            </w:pPr>
            <w:r>
              <w:rPr>
                <w:rFonts w:ascii="Arial" w:cs="Arial" w:eastAsia="Arial" w:hAnsi="Arial"/>
                <w:b/>
                <w:bCs/>
                <w:color w:val="1F2937"/>
                <w:sz w:val="19"/>
                <w:szCs w:val="19"/>
              </w:rPr>
              <w:t xml:space="preserve">Sameep</w:t>
            </w:r>
          </w:p>
        </w:tc>
        <w:tc>
          <w:tcPr>
            <w:tcW w:type="dxa" w:w="240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Tech dev company, London/India. Did AI decision aids for NATO. Has ISRO partner and shared IOLA with defense contacts.</w:t>
            </w:r>
          </w:p>
        </w:tc>
        <w:tc>
          <w:tcPr>
            <w:tcW w:type="dxa" w:w="212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Follow up — did defense contacts respond? Get Chilean VC name from lunar rover company.</w:t>
            </w:r>
          </w:p>
        </w:tc>
        <w:tc>
          <w:tcPr>
            <w:tcW w:type="dxa" w:w="160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April 28</w:t>
            </w:r>
          </w:p>
        </w:tc>
        <w:tc>
          <w:tcPr>
            <w:tcW w:type="dxa" w:w="1600"/>
            <w:tcBorders>
              <w:top w:val="single" w:color="D1FAE5" w:sz="1"/>
              <w:left w:val="single" w:color="D1FAE5" w:sz="1"/>
              <w:bottom w:val="single" w:color="D1FAE5" w:sz="1"/>
              <w:right w:val="single" w:color="D1FAE5" w:sz="1"/>
            </w:tcBorders>
            <w:shd w:fill="FEF3C7" w:val="clear"/>
            <w:tcMar>
              <w:top w:type="dxa" w:w="80"/>
              <w:left w:type="dxa" w:w="160"/>
              <w:bottom w:type="dxa" w:w="80"/>
              <w:right w:type="dxa" w:w="160"/>
            </w:tcMar>
          </w:tcPr>
          <w:p>
            <w:pPr>
              <w:jc w:val="center"/>
            </w:pPr>
            <w:r>
              <w:rPr>
                <w:rFonts w:ascii="Arial" w:cs="Arial" w:eastAsia="Arial" w:hAnsi="Arial"/>
                <w:b/>
                <w:bCs/>
                <w:color w:val="92400E"/>
                <w:sz w:val="17"/>
                <w:szCs w:val="17"/>
              </w:rPr>
              <w:t xml:space="preserve">HIGH</w:t>
            </w:r>
          </w:p>
        </w:tc>
      </w:tr>
      <w:tr>
        <w:tc>
          <w:tcPr>
            <w:tcW w:type="dxa" w:w="2000"/>
            <w:tcBorders>
              <w:top w:val="single" w:color="D1FAE5" w:sz="1"/>
              <w:left w:val="single" w:color="D1FAE5" w:sz="1"/>
              <w:bottom w:val="single" w:color="D1FAE5" w:sz="1"/>
              <w:right w:val="single" w:color="D1FAE5" w:sz="1"/>
            </w:tcBorders>
            <w:shd w:fill="EEF7F6" w:val="clear"/>
            <w:tcMar>
              <w:top w:type="dxa" w:w="80"/>
              <w:left w:type="dxa" w:w="160"/>
              <w:bottom w:type="dxa" w:w="80"/>
              <w:right w:type="dxa" w:w="160"/>
            </w:tcMar>
          </w:tcPr>
          <w:p>
            <w:pPr>
              <w:spacing w:after="0"/>
            </w:pPr>
            <w:r>
              <w:rPr>
                <w:rFonts w:ascii="Arial" w:cs="Arial" w:eastAsia="Arial" w:hAnsi="Arial"/>
                <w:b/>
                <w:bCs/>
                <w:color w:val="1F2937"/>
                <w:sz w:val="19"/>
                <w:szCs w:val="19"/>
              </w:rPr>
              <w:t xml:space="preserve">Olena / Setcoin Group</w:t>
            </w:r>
          </w:p>
        </w:tc>
        <w:tc>
          <w:tcPr>
            <w:tcW w:type="dxa" w:w="2400"/>
            <w:tcBorders>
              <w:top w:val="single" w:color="D1FAE5" w:sz="1"/>
              <w:left w:val="single" w:color="D1FAE5" w:sz="1"/>
              <w:bottom w:val="single" w:color="D1FAE5" w:sz="1"/>
              <w:right w:val="single" w:color="D1FAE5" w:sz="1"/>
            </w:tcBorders>
            <w:shd w:fill="EEF7F6"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BD at Setcoin Group. DSE Space and Aerospace Fund. €17B fund, minimum €10M ticket. Long-term play only.</w:t>
            </w:r>
          </w:p>
        </w:tc>
        <w:tc>
          <w:tcPr>
            <w:tcW w:type="dxa" w:w="2120"/>
            <w:tcBorders>
              <w:top w:val="single" w:color="D1FAE5" w:sz="1"/>
              <w:left w:val="single" w:color="D1FAE5" w:sz="1"/>
              <w:bottom w:val="single" w:color="D1FAE5" w:sz="1"/>
              <w:right w:val="single" w:color="D1FAE5" w:sz="1"/>
            </w:tcBorders>
            <w:shd w:fill="EEF7F6"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Send one progress update. No ask. Keep warm. Revisit when Phase 1 ships.</w:t>
            </w:r>
          </w:p>
        </w:tc>
        <w:tc>
          <w:tcPr>
            <w:tcW w:type="dxa" w:w="1600"/>
            <w:tcBorders>
              <w:top w:val="single" w:color="D1FAE5" w:sz="1"/>
              <w:left w:val="single" w:color="D1FAE5" w:sz="1"/>
              <w:bottom w:val="single" w:color="D1FAE5" w:sz="1"/>
              <w:right w:val="single" w:color="D1FAE5" w:sz="1"/>
            </w:tcBorders>
            <w:shd w:fill="EEF7F6"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Mid-May</w:t>
            </w:r>
          </w:p>
        </w:tc>
        <w:tc>
          <w:tcPr>
            <w:tcW w:type="dxa" w:w="1600"/>
            <w:tcBorders>
              <w:top w:val="single" w:color="D1FAE5" w:sz="1"/>
              <w:left w:val="single" w:color="D1FAE5" w:sz="1"/>
              <w:bottom w:val="single" w:color="D1FAE5" w:sz="1"/>
              <w:right w:val="single" w:color="D1FAE5" w:sz="1"/>
            </w:tcBorders>
            <w:shd w:fill="DBEAFE" w:val="clear"/>
            <w:tcMar>
              <w:top w:type="dxa" w:w="80"/>
              <w:left w:type="dxa" w:w="160"/>
              <w:bottom w:type="dxa" w:w="80"/>
              <w:right w:type="dxa" w:w="160"/>
            </w:tcMar>
          </w:tcPr>
          <w:p>
            <w:pPr>
              <w:jc w:val="center"/>
            </w:pPr>
            <w:r>
              <w:rPr>
                <w:rFonts w:ascii="Arial" w:cs="Arial" w:eastAsia="Arial" w:hAnsi="Arial"/>
                <w:b/>
                <w:bCs/>
                <w:color w:val="1E40AF"/>
                <w:sz w:val="17"/>
                <w:szCs w:val="17"/>
              </w:rPr>
              <w:t xml:space="preserve">MEDIUM</w:t>
            </w:r>
          </w:p>
        </w:tc>
      </w:tr>
    </w:tbl>
    <w:p>
      <w:pPr>
        <w:spacing w:after="80" w:before="60"/>
      </w:pPr>
    </w:p>
    <w:p>
      <w:pPr>
        <w:pBdr>
          <w:bottom w:val="single" w:color="00897B" w:sz="4" w:space="4"/>
        </w:pBdr>
        <w:spacing w:after="120" w:before="340"/>
      </w:pPr>
      <w:r>
        <w:rPr>
          <w:rFonts w:ascii="Arial" w:cs="Arial" w:eastAsia="Arial" w:hAnsi="Arial"/>
          <w:b/>
          <w:bCs/>
          <w:color w:val="00897B"/>
          <w:spacing w:val="40"/>
          <w:sz w:val="18"/>
          <w:szCs w:val="18"/>
        </w:rPr>
        <w:t xml:space="preserve">4. ACADEMIC &amp; STRATEGIC NETWORK</w:t>
      </w:r>
    </w:p>
    <w:p>
      <w:pPr>
        <w:spacing w:after="40" w:before="4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120"/>
        <w:gridCol w:w="1600"/>
        <w:gridCol w:w="1600"/>
      </w:tblGrid>
      <w:tr>
        <w:tc>
          <w:tcPr>
            <w:tcW w:type="dxa" w:w="2000"/>
            <w:tcBorders>
              <w:top w:val="single" w:color="00897B" w:sz="1"/>
              <w:left w:val="single" w:color="00897B" w:sz="1"/>
              <w:bottom w:val="single" w:color="00897B" w:sz="1"/>
              <w:right w:val="single" w:color="00897B" w:sz="1"/>
            </w:tcBorders>
            <w:shd w:fill="00897B" w:val="clear"/>
            <w:tcMar>
              <w:top w:type="dxa" w:w="100"/>
              <w:left w:type="dxa" w:w="160"/>
              <w:bottom w:type="dxa" w:w="100"/>
              <w:right w:type="dxa" w:w="160"/>
            </w:tcMar>
          </w:tcPr>
          <w:p>
            <w:r>
              <w:rPr>
                <w:rFonts w:ascii="Arial" w:cs="Arial" w:eastAsia="Arial" w:hAnsi="Arial"/>
                <w:b/>
                <w:bCs/>
                <w:color w:val="FFFFFF"/>
                <w:sz w:val="19"/>
                <w:szCs w:val="19"/>
              </w:rPr>
              <w:t xml:space="preserve">Contact</w:t>
            </w:r>
          </w:p>
        </w:tc>
        <w:tc>
          <w:tcPr>
            <w:tcW w:type="dxa" w:w="2400"/>
            <w:tcBorders>
              <w:top w:val="single" w:color="00897B" w:sz="1"/>
              <w:left w:val="single" w:color="00897B" w:sz="1"/>
              <w:bottom w:val="single" w:color="00897B" w:sz="1"/>
              <w:right w:val="single" w:color="00897B" w:sz="1"/>
            </w:tcBorders>
            <w:shd w:fill="00897B" w:val="clear"/>
            <w:tcMar>
              <w:top w:type="dxa" w:w="100"/>
              <w:left w:type="dxa" w:w="160"/>
              <w:bottom w:type="dxa" w:w="100"/>
              <w:right w:type="dxa" w:w="160"/>
            </w:tcMar>
          </w:tcPr>
          <w:p>
            <w:r>
              <w:rPr>
                <w:rFonts w:ascii="Arial" w:cs="Arial" w:eastAsia="Arial" w:hAnsi="Arial"/>
                <w:b/>
                <w:bCs/>
                <w:color w:val="FFFFFF"/>
                <w:sz w:val="19"/>
                <w:szCs w:val="19"/>
              </w:rPr>
              <w:t xml:space="preserve">Who They Are</w:t>
            </w:r>
          </w:p>
        </w:tc>
        <w:tc>
          <w:tcPr>
            <w:tcW w:type="dxa" w:w="2120"/>
            <w:tcBorders>
              <w:top w:val="single" w:color="00897B" w:sz="1"/>
              <w:left w:val="single" w:color="00897B" w:sz="1"/>
              <w:bottom w:val="single" w:color="00897B" w:sz="1"/>
              <w:right w:val="single" w:color="00897B" w:sz="1"/>
            </w:tcBorders>
            <w:shd w:fill="00897B" w:val="clear"/>
            <w:tcMar>
              <w:top w:type="dxa" w:w="100"/>
              <w:left w:type="dxa" w:w="160"/>
              <w:bottom w:type="dxa" w:w="100"/>
              <w:right w:type="dxa" w:w="160"/>
            </w:tcMar>
          </w:tcPr>
          <w:p>
            <w:r>
              <w:rPr>
                <w:rFonts w:ascii="Arial" w:cs="Arial" w:eastAsia="Arial" w:hAnsi="Arial"/>
                <w:b/>
                <w:bCs/>
                <w:color w:val="FFFFFF"/>
                <w:sz w:val="19"/>
                <w:szCs w:val="19"/>
              </w:rPr>
              <w:t xml:space="preserve">Next Action</w:t>
            </w:r>
          </w:p>
        </w:tc>
        <w:tc>
          <w:tcPr>
            <w:tcW w:type="dxa" w:w="1600"/>
            <w:tcBorders>
              <w:top w:val="single" w:color="00897B" w:sz="1"/>
              <w:left w:val="single" w:color="00897B" w:sz="1"/>
              <w:bottom w:val="single" w:color="00897B" w:sz="1"/>
              <w:right w:val="single" w:color="00897B" w:sz="1"/>
            </w:tcBorders>
            <w:shd w:fill="00897B" w:val="clear"/>
            <w:tcMar>
              <w:top w:type="dxa" w:w="100"/>
              <w:left w:type="dxa" w:w="160"/>
              <w:bottom w:type="dxa" w:w="100"/>
              <w:right w:type="dxa" w:w="160"/>
            </w:tcMar>
          </w:tcPr>
          <w:p>
            <w:r>
              <w:rPr>
                <w:rFonts w:ascii="Arial" w:cs="Arial" w:eastAsia="Arial" w:hAnsi="Arial"/>
                <w:b/>
                <w:bCs/>
                <w:color w:val="FFFFFF"/>
                <w:sz w:val="19"/>
                <w:szCs w:val="19"/>
              </w:rPr>
              <w:t xml:space="preserve">By When</w:t>
            </w:r>
          </w:p>
        </w:tc>
        <w:tc>
          <w:tcPr>
            <w:tcW w:type="dxa" w:w="1600"/>
            <w:tcBorders>
              <w:top w:val="single" w:color="00897B" w:sz="1"/>
              <w:left w:val="single" w:color="00897B" w:sz="1"/>
              <w:bottom w:val="single" w:color="00897B" w:sz="1"/>
              <w:right w:val="single" w:color="00897B" w:sz="1"/>
            </w:tcBorders>
            <w:shd w:fill="00897B" w:val="clear"/>
            <w:tcMar>
              <w:top w:type="dxa" w:w="100"/>
              <w:left w:type="dxa" w:w="160"/>
              <w:bottom w:type="dxa" w:w="100"/>
              <w:right w:type="dxa" w:w="160"/>
            </w:tcMar>
          </w:tcPr>
          <w:p>
            <w:r>
              <w:rPr>
                <w:rFonts w:ascii="Arial" w:cs="Arial" w:eastAsia="Arial" w:hAnsi="Arial"/>
                <w:b/>
                <w:bCs/>
                <w:color w:val="FFFFFF"/>
                <w:sz w:val="19"/>
                <w:szCs w:val="19"/>
              </w:rPr>
              <w:t xml:space="preserve">Priority</w:t>
            </w:r>
          </w:p>
        </w:tc>
      </w:tr>
      <w:tr>
        <w:tc>
          <w:tcPr>
            <w:tcW w:type="dxa" w:w="200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pPr>
              <w:spacing w:after="0"/>
            </w:pPr>
            <w:r>
              <w:rPr>
                <w:rFonts w:ascii="Arial" w:cs="Arial" w:eastAsia="Arial" w:hAnsi="Arial"/>
                <w:b/>
                <w:bCs/>
                <w:color w:val="1F2937"/>
                <w:sz w:val="19"/>
                <w:szCs w:val="19"/>
              </w:rPr>
              <w:t xml:space="preserve">Rosalind (Harvard)</w:t>
            </w:r>
          </w:p>
        </w:tc>
        <w:tc>
          <w:tcPr>
            <w:tcW w:type="dxa" w:w="240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Associate Director, Harvard Center for African Studies. Warm. Bio sent. Will intro Prof. Achampon.</w:t>
            </w:r>
          </w:p>
        </w:tc>
        <w:tc>
          <w:tcPr>
            <w:tcW w:type="dxa" w:w="212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Email Prof. Achampon using Rosalind's intro. Attach bio. Do not email before May 12 — exams.</w:t>
            </w:r>
          </w:p>
        </w:tc>
        <w:tc>
          <w:tcPr>
            <w:tcW w:type="dxa" w:w="160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May 12</w:t>
            </w:r>
          </w:p>
        </w:tc>
        <w:tc>
          <w:tcPr>
            <w:tcW w:type="dxa" w:w="1600"/>
            <w:tcBorders>
              <w:top w:val="single" w:color="D1FAE5" w:sz="1"/>
              <w:left w:val="single" w:color="D1FAE5" w:sz="1"/>
              <w:bottom w:val="single" w:color="D1FAE5" w:sz="1"/>
              <w:right w:val="single" w:color="D1FAE5" w:sz="1"/>
            </w:tcBorders>
            <w:shd w:fill="FEE2E2" w:val="clear"/>
            <w:tcMar>
              <w:top w:type="dxa" w:w="80"/>
              <w:left w:type="dxa" w:w="160"/>
              <w:bottom w:type="dxa" w:w="80"/>
              <w:right w:type="dxa" w:w="160"/>
            </w:tcMar>
          </w:tcPr>
          <w:p>
            <w:pPr>
              <w:jc w:val="center"/>
            </w:pPr>
            <w:r>
              <w:rPr>
                <w:rFonts w:ascii="Arial" w:cs="Arial" w:eastAsia="Arial" w:hAnsi="Arial"/>
                <w:b/>
                <w:bCs/>
                <w:color w:val="991B1B"/>
                <w:sz w:val="17"/>
                <w:szCs w:val="17"/>
              </w:rPr>
              <w:t xml:space="preserve">CRITICAL</w:t>
            </w:r>
          </w:p>
        </w:tc>
      </w:tr>
      <w:tr>
        <w:tc>
          <w:tcPr>
            <w:tcW w:type="dxa" w:w="2000"/>
            <w:tcBorders>
              <w:top w:val="single" w:color="D1FAE5" w:sz="1"/>
              <w:left w:val="single" w:color="D1FAE5" w:sz="1"/>
              <w:bottom w:val="single" w:color="D1FAE5" w:sz="1"/>
              <w:right w:val="single" w:color="D1FAE5" w:sz="1"/>
            </w:tcBorders>
            <w:shd w:fill="EEF7F6" w:val="clear"/>
            <w:tcMar>
              <w:top w:type="dxa" w:w="80"/>
              <w:left w:type="dxa" w:w="160"/>
              <w:bottom w:type="dxa" w:w="80"/>
              <w:right w:type="dxa" w:w="160"/>
            </w:tcMar>
          </w:tcPr>
          <w:p>
            <w:pPr>
              <w:spacing w:after="0"/>
            </w:pPr>
            <w:r>
              <w:rPr>
                <w:rFonts w:ascii="Arial" w:cs="Arial" w:eastAsia="Arial" w:hAnsi="Arial"/>
                <w:b/>
                <w:bCs/>
                <w:color w:val="1F2937"/>
                <w:sz w:val="19"/>
                <w:szCs w:val="19"/>
              </w:rPr>
              <w:t xml:space="preserve">Prof. Achampon (Harvard)</w:t>
            </w:r>
          </w:p>
        </w:tc>
        <w:tc>
          <w:tcPr>
            <w:tcW w:type="dxa" w:w="2400"/>
            <w:tcBorders>
              <w:top w:val="single" w:color="D1FAE5" w:sz="1"/>
              <w:left w:val="single" w:color="D1FAE5" w:sz="1"/>
              <w:bottom w:val="single" w:color="D1FAE5" w:sz="1"/>
              <w:right w:val="single" w:color="D1FAE5" w:sz="1"/>
            </w:tcBorders>
            <w:shd w:fill="EEF7F6"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Former Director, Harvard Center for African Studies. Ghanaian. 30+ years at Harvard. Gateway to Prof. Dembele (Engineering) and climate faculty.</w:t>
            </w:r>
          </w:p>
        </w:tc>
        <w:tc>
          <w:tcPr>
            <w:tcW w:type="dxa" w:w="2120"/>
            <w:tcBorders>
              <w:top w:val="single" w:color="D1FAE5" w:sz="1"/>
              <w:left w:val="single" w:color="D1FAE5" w:sz="1"/>
              <w:bottom w:val="single" w:color="D1FAE5" w:sz="1"/>
              <w:right w:val="single" w:color="D1FAE5" w:sz="1"/>
            </w:tcBorders>
            <w:shd w:fill="EEF7F6"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Email week of May 12. Introduce IOLA. Ask for 20 minutes. He will connect you to Prof. Dembele.</w:t>
            </w:r>
          </w:p>
        </w:tc>
        <w:tc>
          <w:tcPr>
            <w:tcW w:type="dxa" w:w="1600"/>
            <w:tcBorders>
              <w:top w:val="single" w:color="D1FAE5" w:sz="1"/>
              <w:left w:val="single" w:color="D1FAE5" w:sz="1"/>
              <w:bottom w:val="single" w:color="D1FAE5" w:sz="1"/>
              <w:right w:val="single" w:color="D1FAE5" w:sz="1"/>
            </w:tcBorders>
            <w:shd w:fill="EEF7F6"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May 12 – 16</w:t>
            </w:r>
          </w:p>
        </w:tc>
        <w:tc>
          <w:tcPr>
            <w:tcW w:type="dxa" w:w="1600"/>
            <w:tcBorders>
              <w:top w:val="single" w:color="D1FAE5" w:sz="1"/>
              <w:left w:val="single" w:color="D1FAE5" w:sz="1"/>
              <w:bottom w:val="single" w:color="D1FAE5" w:sz="1"/>
              <w:right w:val="single" w:color="D1FAE5" w:sz="1"/>
            </w:tcBorders>
            <w:shd w:fill="FEE2E2" w:val="clear"/>
            <w:tcMar>
              <w:top w:type="dxa" w:w="80"/>
              <w:left w:type="dxa" w:w="160"/>
              <w:bottom w:type="dxa" w:w="80"/>
              <w:right w:type="dxa" w:w="160"/>
            </w:tcMar>
          </w:tcPr>
          <w:p>
            <w:pPr>
              <w:jc w:val="center"/>
            </w:pPr>
            <w:r>
              <w:rPr>
                <w:rFonts w:ascii="Arial" w:cs="Arial" w:eastAsia="Arial" w:hAnsi="Arial"/>
                <w:b/>
                <w:bCs/>
                <w:color w:val="991B1B"/>
                <w:sz w:val="17"/>
                <w:szCs w:val="17"/>
              </w:rPr>
              <w:t xml:space="preserve">CRITICAL</w:t>
            </w:r>
          </w:p>
        </w:tc>
      </w:tr>
      <w:tr>
        <w:tc>
          <w:tcPr>
            <w:tcW w:type="dxa" w:w="200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pPr>
              <w:spacing w:after="0"/>
            </w:pPr>
            <w:r>
              <w:rPr>
                <w:rFonts w:ascii="Arial" w:cs="Arial" w:eastAsia="Arial" w:hAnsi="Arial"/>
                <w:b/>
                <w:bCs/>
                <w:color w:val="1F2937"/>
                <w:sz w:val="19"/>
                <w:szCs w:val="19"/>
              </w:rPr>
              <w:t xml:space="preserve">Moira (SRI International)</w:t>
            </w:r>
          </w:p>
        </w:tc>
        <w:tc>
          <w:tcPr>
            <w:tcW w:type="dxa" w:w="240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20+ years at SRI International. Geospatial satellite sensors, radar, production engineering. Now in Ireland. Michael's highest-value intro.</w:t>
            </w:r>
          </w:p>
        </w:tc>
        <w:tc>
          <w:tcPr>
            <w:tcW w:type="dxa" w:w="212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Wait for Michael to make intro in Africa Space Race group. Then respond warmly and request Zoom call.</w:t>
            </w:r>
          </w:p>
        </w:tc>
        <w:tc>
          <w:tcPr>
            <w:tcW w:type="dxa" w:w="160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When Michael opens it</w:t>
            </w:r>
          </w:p>
        </w:tc>
        <w:tc>
          <w:tcPr>
            <w:tcW w:type="dxa" w:w="1600"/>
            <w:tcBorders>
              <w:top w:val="single" w:color="D1FAE5" w:sz="1"/>
              <w:left w:val="single" w:color="D1FAE5" w:sz="1"/>
              <w:bottom w:val="single" w:color="D1FAE5" w:sz="1"/>
              <w:right w:val="single" w:color="D1FAE5" w:sz="1"/>
            </w:tcBorders>
            <w:shd w:fill="FEE2E2" w:val="clear"/>
            <w:tcMar>
              <w:top w:type="dxa" w:w="80"/>
              <w:left w:type="dxa" w:w="160"/>
              <w:bottom w:type="dxa" w:w="80"/>
              <w:right w:type="dxa" w:w="160"/>
            </w:tcMar>
          </w:tcPr>
          <w:p>
            <w:pPr>
              <w:jc w:val="center"/>
            </w:pPr>
            <w:r>
              <w:rPr>
                <w:rFonts w:ascii="Arial" w:cs="Arial" w:eastAsia="Arial" w:hAnsi="Arial"/>
                <w:b/>
                <w:bCs/>
                <w:color w:val="991B1B"/>
                <w:sz w:val="17"/>
                <w:szCs w:val="17"/>
              </w:rPr>
              <w:t xml:space="preserve">CRITICAL</w:t>
            </w:r>
          </w:p>
        </w:tc>
      </w:tr>
      <w:tr>
        <w:tc>
          <w:tcPr>
            <w:tcW w:type="dxa" w:w="2000"/>
            <w:tcBorders>
              <w:top w:val="single" w:color="D1FAE5" w:sz="1"/>
              <w:left w:val="single" w:color="D1FAE5" w:sz="1"/>
              <w:bottom w:val="single" w:color="D1FAE5" w:sz="1"/>
              <w:right w:val="single" w:color="D1FAE5" w:sz="1"/>
            </w:tcBorders>
            <w:shd w:fill="EEF7F6" w:val="clear"/>
            <w:tcMar>
              <w:top w:type="dxa" w:w="80"/>
              <w:left w:type="dxa" w:w="160"/>
              <w:bottom w:type="dxa" w:w="80"/>
              <w:right w:type="dxa" w:w="160"/>
            </w:tcMar>
          </w:tcPr>
          <w:p>
            <w:pPr>
              <w:spacing w:after="0"/>
            </w:pPr>
            <w:r>
              <w:rPr>
                <w:rFonts w:ascii="Arial" w:cs="Arial" w:eastAsia="Arial" w:hAnsi="Arial"/>
                <w:b/>
                <w:bCs/>
                <w:color w:val="1F2937"/>
                <w:sz w:val="19"/>
                <w:szCs w:val="19"/>
              </w:rPr>
              <w:t xml:space="preserve">SPACERAISE 2026</w:t>
            </w:r>
          </w:p>
        </w:tc>
        <w:tc>
          <w:tcPr>
            <w:tcW w:type="dxa" w:w="2400"/>
            <w:tcBorders>
              <w:top w:val="single" w:color="D1FAE5" w:sz="1"/>
              <w:left w:val="single" w:color="D1FAE5" w:sz="1"/>
              <w:bottom w:val="single" w:color="D1FAE5" w:sz="1"/>
              <w:right w:val="single" w:color="D1FAE5" w:sz="1"/>
            </w:tcBorders>
            <w:shd w:fill="EEF7F6"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EU-funded space tech program, L'Aquila, Italy. Scholarship awarded. Natural moment to meet Moira and other space ecosystem contacts.</w:t>
            </w:r>
          </w:p>
        </w:tc>
        <w:tc>
          <w:tcPr>
            <w:tcW w:type="dxa" w:w="2120"/>
            <w:tcBorders>
              <w:top w:val="single" w:color="D1FAE5" w:sz="1"/>
              <w:left w:val="single" w:color="D1FAE5" w:sz="1"/>
              <w:bottom w:val="single" w:color="D1FAE5" w:sz="1"/>
              <w:right w:val="single" w:color="D1FAE5" w:sz="1"/>
            </w:tcBorders>
            <w:shd w:fill="EEF7F6"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Confirm visa. Confirm travel. Represent IOLA. Make introductions in person.</w:t>
            </w:r>
          </w:p>
        </w:tc>
        <w:tc>
          <w:tcPr>
            <w:tcW w:type="dxa" w:w="1600"/>
            <w:tcBorders>
              <w:top w:val="single" w:color="D1FAE5" w:sz="1"/>
              <w:left w:val="single" w:color="D1FAE5" w:sz="1"/>
              <w:bottom w:val="single" w:color="D1FAE5" w:sz="1"/>
              <w:right w:val="single" w:color="D1FAE5" w:sz="1"/>
            </w:tcBorders>
            <w:shd w:fill="EEF7F6"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Late May</w:t>
            </w:r>
          </w:p>
        </w:tc>
        <w:tc>
          <w:tcPr>
            <w:tcW w:type="dxa" w:w="1600"/>
            <w:tcBorders>
              <w:top w:val="single" w:color="D1FAE5" w:sz="1"/>
              <w:left w:val="single" w:color="D1FAE5" w:sz="1"/>
              <w:bottom w:val="single" w:color="D1FAE5" w:sz="1"/>
              <w:right w:val="single" w:color="D1FAE5" w:sz="1"/>
            </w:tcBorders>
            <w:shd w:fill="FEE2E2" w:val="clear"/>
            <w:tcMar>
              <w:top w:type="dxa" w:w="80"/>
              <w:left w:type="dxa" w:w="160"/>
              <w:bottom w:type="dxa" w:w="80"/>
              <w:right w:type="dxa" w:w="160"/>
            </w:tcMar>
          </w:tcPr>
          <w:p>
            <w:pPr>
              <w:jc w:val="center"/>
            </w:pPr>
            <w:r>
              <w:rPr>
                <w:rFonts w:ascii="Arial" w:cs="Arial" w:eastAsia="Arial" w:hAnsi="Arial"/>
                <w:b/>
                <w:bCs/>
                <w:color w:val="991B1B"/>
                <w:sz w:val="17"/>
                <w:szCs w:val="17"/>
              </w:rPr>
              <w:t xml:space="preserve">CRITICAL</w:t>
            </w:r>
          </w:p>
        </w:tc>
      </w:tr>
      <w:tr>
        <w:tc>
          <w:tcPr>
            <w:tcW w:type="dxa" w:w="200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pPr>
              <w:spacing w:after="0"/>
            </w:pPr>
            <w:r>
              <w:rPr>
                <w:rFonts w:ascii="Arial" w:cs="Arial" w:eastAsia="Arial" w:hAnsi="Arial"/>
                <w:b/>
                <w:bCs/>
                <w:color w:val="1F2937"/>
                <w:sz w:val="19"/>
                <w:szCs w:val="19"/>
              </w:rPr>
              <w:t xml:space="preserve">Vijay</w:t>
            </w:r>
          </w:p>
        </w:tc>
        <w:tc>
          <w:tcPr>
            <w:tcW w:type="dxa" w:w="240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30 years in Africa with the UN on IT infrastructure. Now in London working on carbon credits in Ghana. Michael's contact. Valuable for climate and institutional networks.</w:t>
            </w:r>
          </w:p>
        </w:tc>
        <w:tc>
          <w:tcPr>
            <w:tcW w:type="dxa" w:w="212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Let Michael introduce in the WhatsApp group naturally. Reach out to Vijay once his context on carbon data in Ghana is clear.</w:t>
            </w:r>
          </w:p>
        </w:tc>
        <w:tc>
          <w:tcPr>
            <w:tcW w:type="dxa" w:w="160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After Michael's intro</w:t>
            </w:r>
          </w:p>
        </w:tc>
        <w:tc>
          <w:tcPr>
            <w:tcW w:type="dxa" w:w="1600"/>
            <w:tcBorders>
              <w:top w:val="single" w:color="D1FAE5" w:sz="1"/>
              <w:left w:val="single" w:color="D1FAE5" w:sz="1"/>
              <w:bottom w:val="single" w:color="D1FAE5" w:sz="1"/>
              <w:right w:val="single" w:color="D1FAE5" w:sz="1"/>
            </w:tcBorders>
            <w:shd w:fill="DBEAFE" w:val="clear"/>
            <w:tcMar>
              <w:top w:type="dxa" w:w="80"/>
              <w:left w:type="dxa" w:w="160"/>
              <w:bottom w:type="dxa" w:w="80"/>
              <w:right w:type="dxa" w:w="160"/>
            </w:tcMar>
          </w:tcPr>
          <w:p>
            <w:pPr>
              <w:jc w:val="center"/>
            </w:pPr>
            <w:r>
              <w:rPr>
                <w:rFonts w:ascii="Arial" w:cs="Arial" w:eastAsia="Arial" w:hAnsi="Arial"/>
                <w:b/>
                <w:bCs/>
                <w:color w:val="1E40AF"/>
                <w:sz w:val="17"/>
                <w:szCs w:val="17"/>
              </w:rPr>
              <w:t xml:space="preserve">MEDIUM</w:t>
            </w:r>
          </w:p>
        </w:tc>
      </w:tr>
    </w:tbl>
    <w:p>
      <w:pPr>
        <w:spacing w:after="80" w:before="60"/>
      </w:pPr>
    </w:p>
    <w:p>
      <w:pPr>
        <w:pBdr>
          <w:bottom w:val="single" w:color="00897B" w:sz="4" w:space="4"/>
        </w:pBdr>
        <w:spacing w:after="120" w:before="340"/>
      </w:pPr>
      <w:r>
        <w:rPr>
          <w:rFonts w:ascii="Arial" w:cs="Arial" w:eastAsia="Arial" w:hAnsi="Arial"/>
          <w:b/>
          <w:bCs/>
          <w:color w:val="00897B"/>
          <w:spacing w:val="40"/>
          <w:sz w:val="18"/>
          <w:szCs w:val="18"/>
        </w:rPr>
        <w:t xml:space="preserve">5. LEGAL &amp; STRUCTURAL (UNLOCKS EVERYTHING ELSE)</w:t>
      </w:r>
    </w:p>
    <w:p>
      <w:pPr>
        <w:spacing w:after="40" w:before="4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3520"/>
        <w:gridCol w:w="1600"/>
        <w:gridCol w:w="1800"/>
      </w:tblGrid>
      <w:tr>
        <w:tc>
          <w:tcPr>
            <w:tcW w:type="dxa" w:w="2800"/>
            <w:tcBorders>
              <w:top w:val="single" w:color="00897B" w:sz="1"/>
              <w:left w:val="single" w:color="00897B" w:sz="1"/>
              <w:bottom w:val="single" w:color="00897B" w:sz="1"/>
              <w:right w:val="single" w:color="00897B" w:sz="1"/>
            </w:tcBorders>
            <w:shd w:fill="00897B" w:val="clear"/>
            <w:tcMar>
              <w:top w:type="dxa" w:w="100"/>
              <w:left w:type="dxa" w:w="160"/>
              <w:bottom w:type="dxa" w:w="100"/>
              <w:right w:type="dxa" w:w="160"/>
            </w:tcMar>
          </w:tcPr>
          <w:p>
            <w:r>
              <w:rPr>
                <w:rFonts w:ascii="Arial" w:cs="Arial" w:eastAsia="Arial" w:hAnsi="Arial"/>
                <w:b/>
                <w:bCs/>
                <w:color w:val="FFFFFF"/>
                <w:sz w:val="19"/>
                <w:szCs w:val="19"/>
              </w:rPr>
              <w:t xml:space="preserve">Action</w:t>
            </w:r>
          </w:p>
        </w:tc>
        <w:tc>
          <w:tcPr>
            <w:tcW w:type="dxa" w:w="3520"/>
            <w:tcBorders>
              <w:top w:val="single" w:color="00897B" w:sz="1"/>
              <w:left w:val="single" w:color="00897B" w:sz="1"/>
              <w:bottom w:val="single" w:color="00897B" w:sz="1"/>
              <w:right w:val="single" w:color="00897B" w:sz="1"/>
            </w:tcBorders>
            <w:shd w:fill="00897B" w:val="clear"/>
            <w:tcMar>
              <w:top w:type="dxa" w:w="100"/>
              <w:left w:type="dxa" w:w="160"/>
              <w:bottom w:type="dxa" w:w="100"/>
              <w:right w:type="dxa" w:w="160"/>
            </w:tcMar>
          </w:tcPr>
          <w:p>
            <w:r>
              <w:rPr>
                <w:rFonts w:ascii="Arial" w:cs="Arial" w:eastAsia="Arial" w:hAnsi="Arial"/>
                <w:b/>
                <w:bCs/>
                <w:color w:val="FFFFFF"/>
                <w:sz w:val="19"/>
                <w:szCs w:val="19"/>
              </w:rPr>
              <w:t xml:space="preserve">Why It Matters</w:t>
            </w:r>
          </w:p>
        </w:tc>
        <w:tc>
          <w:tcPr>
            <w:tcW w:type="dxa" w:w="1600"/>
            <w:tcBorders>
              <w:top w:val="single" w:color="00897B" w:sz="1"/>
              <w:left w:val="single" w:color="00897B" w:sz="1"/>
              <w:bottom w:val="single" w:color="00897B" w:sz="1"/>
              <w:right w:val="single" w:color="00897B" w:sz="1"/>
            </w:tcBorders>
            <w:shd w:fill="00897B" w:val="clear"/>
            <w:tcMar>
              <w:top w:type="dxa" w:w="100"/>
              <w:left w:type="dxa" w:w="160"/>
              <w:bottom w:type="dxa" w:w="100"/>
              <w:right w:type="dxa" w:w="160"/>
            </w:tcMar>
          </w:tcPr>
          <w:p>
            <w:r>
              <w:rPr>
                <w:rFonts w:ascii="Arial" w:cs="Arial" w:eastAsia="Arial" w:hAnsi="Arial"/>
                <w:b/>
                <w:bCs/>
                <w:color w:val="FFFFFF"/>
                <w:sz w:val="19"/>
                <w:szCs w:val="19"/>
              </w:rPr>
              <w:t xml:space="preserve">Deadline</w:t>
            </w:r>
          </w:p>
        </w:tc>
        <w:tc>
          <w:tcPr>
            <w:tcW w:type="dxa" w:w="1800"/>
            <w:tcBorders>
              <w:top w:val="single" w:color="00897B" w:sz="1"/>
              <w:left w:val="single" w:color="00897B" w:sz="1"/>
              <w:bottom w:val="single" w:color="00897B" w:sz="1"/>
              <w:right w:val="single" w:color="00897B" w:sz="1"/>
            </w:tcBorders>
            <w:shd w:fill="00897B" w:val="clear"/>
            <w:tcMar>
              <w:top w:type="dxa" w:w="100"/>
              <w:left w:type="dxa" w:w="160"/>
              <w:bottom w:type="dxa" w:w="100"/>
              <w:right w:type="dxa" w:w="160"/>
            </w:tcMar>
          </w:tcPr>
          <w:p>
            <w:r>
              <w:rPr>
                <w:rFonts w:ascii="Arial" w:cs="Arial" w:eastAsia="Arial" w:hAnsi="Arial"/>
                <w:b/>
                <w:bCs/>
                <w:color w:val="FFFFFF"/>
                <w:sz w:val="19"/>
                <w:szCs w:val="19"/>
              </w:rPr>
              <w:t xml:space="preserve">Priority</w:t>
            </w:r>
          </w:p>
        </w:tc>
      </w:tr>
      <w:tr>
        <w:tc>
          <w:tcPr>
            <w:tcW w:type="dxa" w:w="280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pPr>
              <w:spacing w:after="0"/>
            </w:pPr>
            <w:r>
              <w:rPr>
                <w:rFonts w:ascii="Arial" w:cs="Arial" w:eastAsia="Arial" w:hAnsi="Arial"/>
                <w:b/>
                <w:bCs/>
                <w:color w:val="1F2937"/>
                <w:sz w:val="19"/>
                <w:szCs w:val="19"/>
              </w:rPr>
              <w:t xml:space="preserve">Delaware C-Corp via Stripe Atlas</w:t>
            </w:r>
          </w:p>
        </w:tc>
        <w:tc>
          <w:tcPr>
            <w:tcW w:type="dxa" w:w="352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Unlocks LVL UP Labs (already accepted previously), Black Flag, and all serious investor conversations. Glenn from Mercury has a discount code ready.</w:t>
            </w:r>
          </w:p>
        </w:tc>
        <w:tc>
          <w:tcPr>
            <w:tcW w:type="dxa" w:w="160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May 2</w:t>
            </w:r>
          </w:p>
        </w:tc>
        <w:tc>
          <w:tcPr>
            <w:tcW w:type="dxa" w:w="1800"/>
            <w:tcBorders>
              <w:top w:val="single" w:color="D1FAE5" w:sz="1"/>
              <w:left w:val="single" w:color="D1FAE5" w:sz="1"/>
              <w:bottom w:val="single" w:color="D1FAE5" w:sz="1"/>
              <w:right w:val="single" w:color="D1FAE5" w:sz="1"/>
            </w:tcBorders>
            <w:shd w:fill="FEE2E2" w:val="clear"/>
            <w:tcMar>
              <w:top w:type="dxa" w:w="80"/>
              <w:left w:type="dxa" w:w="160"/>
              <w:bottom w:type="dxa" w:w="80"/>
              <w:right w:type="dxa" w:w="160"/>
            </w:tcMar>
          </w:tcPr>
          <w:p>
            <w:pPr>
              <w:jc w:val="center"/>
            </w:pPr>
            <w:r>
              <w:rPr>
                <w:rFonts w:ascii="Arial" w:cs="Arial" w:eastAsia="Arial" w:hAnsi="Arial"/>
                <w:b/>
                <w:bCs/>
                <w:color w:val="991B1B"/>
                <w:sz w:val="17"/>
                <w:szCs w:val="17"/>
              </w:rPr>
              <w:t xml:space="preserve">CRITICAL</w:t>
            </w:r>
          </w:p>
        </w:tc>
      </w:tr>
      <w:tr>
        <w:tc>
          <w:tcPr>
            <w:tcW w:type="dxa" w:w="2800"/>
            <w:tcBorders>
              <w:top w:val="single" w:color="D1FAE5" w:sz="1"/>
              <w:left w:val="single" w:color="D1FAE5" w:sz="1"/>
              <w:bottom w:val="single" w:color="D1FAE5" w:sz="1"/>
              <w:right w:val="single" w:color="D1FAE5" w:sz="1"/>
            </w:tcBorders>
            <w:shd w:fill="EEF7F6" w:val="clear"/>
            <w:tcMar>
              <w:top w:type="dxa" w:w="80"/>
              <w:left w:type="dxa" w:w="160"/>
              <w:bottom w:type="dxa" w:w="80"/>
              <w:right w:type="dxa" w:w="160"/>
            </w:tcMar>
          </w:tcPr>
          <w:p>
            <w:pPr>
              <w:spacing w:after="0"/>
            </w:pPr>
            <w:r>
              <w:rPr>
                <w:rFonts w:ascii="Arial" w:cs="Arial" w:eastAsia="Arial" w:hAnsi="Arial"/>
                <w:b/>
                <w:bCs/>
                <w:color w:val="1F2937"/>
                <w:sz w:val="19"/>
                <w:szCs w:val="19"/>
              </w:rPr>
              <w:t xml:space="preserve">ESA Germany entity via Alph</w:t>
            </w:r>
          </w:p>
        </w:tc>
        <w:tc>
          <w:tcPr>
            <w:tcW w:type="dxa" w:w="3520"/>
            <w:tcBorders>
              <w:top w:val="single" w:color="D1FAE5" w:sz="1"/>
              <w:left w:val="single" w:color="D1FAE5" w:sz="1"/>
              <w:bottom w:val="single" w:color="D1FAE5" w:sz="1"/>
              <w:right w:val="single" w:color="D1FAE5" w:sz="1"/>
            </w:tcBorders>
            <w:shd w:fill="EEF7F6"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Required for ESA Kick-starts eligibility. Confirm with Alph whether existing or lightweight GmbH. This must be confirmed before May 15 to submit by May 29.</w:t>
            </w:r>
          </w:p>
        </w:tc>
        <w:tc>
          <w:tcPr>
            <w:tcW w:type="dxa" w:w="1600"/>
            <w:tcBorders>
              <w:top w:val="single" w:color="D1FAE5" w:sz="1"/>
              <w:left w:val="single" w:color="D1FAE5" w:sz="1"/>
              <w:bottom w:val="single" w:color="D1FAE5" w:sz="1"/>
              <w:right w:val="single" w:color="D1FAE5" w:sz="1"/>
            </w:tcBorders>
            <w:shd w:fill="EEF7F6" w:val="clear"/>
            <w:tcMar>
              <w:top w:type="dxa" w:w="80"/>
              <w:left w:type="dxa" w:w="160"/>
              <w:bottom w:type="dxa" w:w="80"/>
              <w:right w:type="dxa" w:w="160"/>
            </w:tcMar>
          </w:tcPr>
          <w:p>
            <w:pPr>
              <w:spacing w:after="0"/>
            </w:pPr>
            <w:r>
              <w:rPr>
                <w:rFonts w:ascii="Arial" w:cs="Arial" w:eastAsia="Arial" w:hAnsi="Arial"/>
                <w:b w:val="false"/>
                <w:bCs w:val="false"/>
                <w:color w:val="1F2937"/>
                <w:sz w:val="19"/>
                <w:szCs w:val="19"/>
              </w:rPr>
              <w:t xml:space="preserve">Confirm by May 8</w:t>
            </w:r>
          </w:p>
        </w:tc>
        <w:tc>
          <w:tcPr>
            <w:tcW w:type="dxa" w:w="1800"/>
            <w:tcBorders>
              <w:top w:val="single" w:color="D1FAE5" w:sz="1"/>
              <w:left w:val="single" w:color="D1FAE5" w:sz="1"/>
              <w:bottom w:val="single" w:color="D1FAE5" w:sz="1"/>
              <w:right w:val="single" w:color="D1FAE5" w:sz="1"/>
            </w:tcBorders>
            <w:shd w:fill="FEE2E2" w:val="clear"/>
            <w:tcMar>
              <w:top w:type="dxa" w:w="80"/>
              <w:left w:type="dxa" w:w="160"/>
              <w:bottom w:type="dxa" w:w="80"/>
              <w:right w:type="dxa" w:w="160"/>
            </w:tcMar>
          </w:tcPr>
          <w:p>
            <w:pPr>
              <w:jc w:val="center"/>
            </w:pPr>
            <w:r>
              <w:rPr>
                <w:rFonts w:ascii="Arial" w:cs="Arial" w:eastAsia="Arial" w:hAnsi="Arial"/>
                <w:b/>
                <w:bCs/>
                <w:color w:val="991B1B"/>
                <w:sz w:val="17"/>
                <w:szCs w:val="17"/>
              </w:rPr>
              <w:t xml:space="preserve">CRITICAL</w:t>
            </w:r>
          </w:p>
        </w:tc>
      </w:tr>
    </w:tbl>
    <w:p>
      <w:pPr>
        <w:spacing w:after="80" w:before="60"/>
      </w:pPr>
    </w:p>
    <w:p>
      <w:pPr>
        <w:pBdr>
          <w:bottom w:val="single" w:color="00897B" w:sz="4" w:space="4"/>
        </w:pBdr>
        <w:spacing w:after="120" w:before="340"/>
      </w:pPr>
      <w:r>
        <w:rPr>
          <w:rFonts w:ascii="Arial" w:cs="Arial" w:eastAsia="Arial" w:hAnsi="Arial"/>
          <w:b/>
          <w:bCs/>
          <w:color w:val="00897B"/>
          <w:spacing w:val="40"/>
          <w:sz w:val="18"/>
          <w:szCs w:val="18"/>
        </w:rPr>
        <w:t xml:space="preserve">6. WEEK-BY-WEEK CALENDAR</w:t>
      </w:r>
    </w:p>
    <w:p>
      <w:pPr>
        <w:spacing w:after="40" w:before="4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80"/>
        <w:gridCol w:w="8040"/>
      </w:tblGrid>
      <w:tr>
        <w:tc>
          <w:tcPr>
            <w:tcW w:type="dxa" w:w="1680"/>
            <w:tcBorders>
              <w:top w:val="single" w:color="00897B" w:sz="1"/>
              <w:left w:val="single" w:color="00897B" w:sz="1"/>
              <w:bottom w:val="single" w:color="00897B" w:sz="1"/>
              <w:right w:val="single" w:color="00897B" w:sz="1"/>
            </w:tcBorders>
            <w:shd w:fill="00897B" w:val="clear"/>
            <w:tcMar>
              <w:top w:type="dxa" w:w="100"/>
              <w:left w:type="dxa" w:w="160"/>
              <w:bottom w:type="dxa" w:w="100"/>
              <w:right w:type="dxa" w:w="160"/>
            </w:tcMar>
          </w:tcPr>
          <w:p>
            <w:r>
              <w:rPr>
                <w:rFonts w:ascii="Arial" w:cs="Arial" w:eastAsia="Arial" w:hAnsi="Arial"/>
                <w:b/>
                <w:bCs/>
                <w:color w:val="FFFFFF"/>
                <w:sz w:val="19"/>
                <w:szCs w:val="19"/>
              </w:rPr>
              <w:t xml:space="preserve">Week</w:t>
            </w:r>
          </w:p>
        </w:tc>
        <w:tc>
          <w:tcPr>
            <w:tcW w:type="dxa" w:w="8040"/>
            <w:tcBorders>
              <w:top w:val="single" w:color="00897B" w:sz="1"/>
              <w:left w:val="single" w:color="00897B" w:sz="1"/>
              <w:bottom w:val="single" w:color="00897B" w:sz="1"/>
              <w:right w:val="single" w:color="00897B" w:sz="1"/>
            </w:tcBorders>
            <w:shd w:fill="00897B" w:val="clear"/>
            <w:tcMar>
              <w:top w:type="dxa" w:w="100"/>
              <w:left w:type="dxa" w:w="160"/>
              <w:bottom w:type="dxa" w:w="100"/>
              <w:right w:type="dxa" w:w="160"/>
            </w:tcMar>
          </w:tcPr>
          <w:p>
            <w:r>
              <w:rPr>
                <w:rFonts w:ascii="Arial" w:cs="Arial" w:eastAsia="Arial" w:hAnsi="Arial"/>
                <w:b/>
                <w:bCs/>
                <w:color w:val="FFFFFF"/>
                <w:sz w:val="19"/>
                <w:szCs w:val="19"/>
              </w:rPr>
              <w:t xml:space="preserve">Key Actions</w:t>
            </w:r>
          </w:p>
        </w:tc>
      </w:tr>
      <w:tr>
        <w:tc>
          <w:tcPr>
            <w:tcW w:type="dxa" w:w="168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pPr>
              <w:spacing w:after="0"/>
            </w:pPr>
            <w:r>
              <w:rPr>
                <w:rFonts w:ascii="Arial" w:cs="Arial" w:eastAsia="Arial" w:hAnsi="Arial"/>
                <w:b/>
                <w:bCs/>
                <w:color w:val="EF4444"/>
                <w:sz w:val="19"/>
                <w:szCs w:val="19"/>
              </w:rPr>
              <w:t xml:space="preserve">Apr 28
– May 4</w:t>
            </w:r>
          </w:p>
        </w:tc>
        <w:tc>
          <w:tcPr>
            <w:tcW w:type="dxa" w:w="8040"/>
            <w:tcBorders>
              <w:top w:val="single" w:color="D1FAE5" w:sz="1"/>
              <w:left w:val="single" w:color="D1FAE5" w:sz="1"/>
              <w:bottom w:val="single" w:color="D1FAE5" w:sz="1"/>
              <w:right w:val="single" w:color="D1FAE5" w:sz="1"/>
            </w:tcBorders>
            <w:tcMar>
              <w:top w:type="dxa" w:w="80"/>
              <w:left w:type="dxa" w:w="160"/>
              <w:bottom w:type="dxa" w:w="80"/>
              <w:right w:type="dxa" w:w="160"/>
            </w:tcMar>
          </w:tcPr>
          <w:p>
            <w:pPr>
              <w:spacing w:after="60"/>
            </w:pPr>
            <w:r>
              <w:rPr>
                <w:rFonts w:ascii="Arial" w:cs="Arial" w:eastAsia="Arial" w:hAnsi="Arial"/>
                <w:b/>
                <w:bCs/>
                <w:color w:val="1F2937"/>
                <w:sz w:val="19"/>
                <w:szCs w:val="19"/>
              </w:rPr>
              <w:t xml:space="preserve">Apply to Black Flag (rolling — do not delay)</w:t>
            </w:r>
          </w:p>
          <w:p>
            <w:pPr>
              <w:spacing w:after="60"/>
            </w:pPr>
            <w:r>
              <w:rPr>
                <w:rFonts w:ascii="Arial" w:cs="Arial" w:eastAsia="Arial" w:hAnsi="Arial"/>
                <w:color w:val="1F2937"/>
                <w:sz w:val="19"/>
                <w:szCs w:val="19"/>
              </w:rPr>
              <w:t xml:space="preserve">Register Delaware C-Corp via Stripe Atlas (Glenn, Mercury discount code)</w:t>
            </w:r>
          </w:p>
          <w:p>
            <w:pPr>
              <w:spacing w:after="60"/>
            </w:pPr>
            <w:r>
              <w:rPr>
                <w:rFonts w:ascii="Arial" w:cs="Arial" w:eastAsia="Arial" w:hAnsi="Arial"/>
                <w:color w:val="1F2937"/>
                <w:sz w:val="19"/>
                <w:szCs w:val="19"/>
              </w:rPr>
              <w:t xml:space="preserve">Send IOLA deck to Parsa (Spark, Vancouver) — he is waiting</w:t>
            </w:r>
          </w:p>
          <w:p>
            <w:pPr>
              <w:spacing w:after="60"/>
            </w:pPr>
            <w:r>
              <w:rPr>
                <w:rFonts w:ascii="Arial" w:cs="Arial" w:eastAsia="Arial" w:hAnsi="Arial"/>
                <w:color w:val="1F2937"/>
                <w:sz w:val="19"/>
                <w:szCs w:val="19"/>
              </w:rPr>
              <w:t xml:space="preserve">Follow up with Sameep — defense contact responses + Chilean VC name</w:t>
            </w:r>
          </w:p>
          <w:p>
            <w:pPr>
              <w:spacing w:after="0"/>
            </w:pPr>
            <w:r>
              <w:rPr>
                <w:rFonts w:ascii="Arial" w:cs="Arial" w:eastAsia="Arial" w:hAnsi="Arial"/>
                <w:color w:val="1F2937"/>
                <w:sz w:val="19"/>
                <w:szCs w:val="19"/>
              </w:rPr>
              <w:t xml:space="preserve">Apply to Speedrun — reapply with updated deck and positioning</w:t>
            </w:r>
          </w:p>
        </w:tc>
      </w:tr>
      <w:tr>
        <w:tc>
          <w:tcPr>
            <w:tcW w:type="dxa" w:w="1680"/>
            <w:tcBorders>
              <w:top w:val="single" w:color="D1FAE5" w:sz="1"/>
              <w:left w:val="single" w:color="D1FAE5" w:sz="1"/>
              <w:bottom w:val="single" w:color="D1FAE5" w:sz="1"/>
              <w:right w:val="single" w:color="D1FAE5" w:sz="1"/>
            </w:tcBorders>
            <w:shd w:fill="EEF7F6" w:val="clear"/>
            <w:tcMar>
              <w:top w:type="dxa" w:w="80"/>
              <w:left w:type="dxa" w:w="160"/>
              <w:bottom w:type="dxa" w:w="80"/>
              <w:right w:type="dxa" w:w="160"/>
            </w:tcMar>
          </w:tcPr>
          <w:p>
            <w:pPr>
              <w:spacing w:after="0"/>
            </w:pPr>
            <w:r>
              <w:rPr>
                <w:rFonts w:ascii="Arial" w:cs="Arial" w:eastAsia="Arial" w:hAnsi="Arial"/>
                <w:b/>
                <w:bCs/>
                <w:color w:val="F59E0B"/>
                <w:sz w:val="19"/>
                <w:szCs w:val="19"/>
              </w:rPr>
              <w:t xml:space="preserve">May 5
– May 11</w:t>
            </w:r>
          </w:p>
        </w:tc>
        <w:tc>
          <w:tcPr>
            <w:tcW w:type="dxa" w:w="8040"/>
            <w:tcBorders>
              <w:top w:val="single" w:color="D1FAE5" w:sz="1"/>
              <w:left w:val="single" w:color="D1FAE5" w:sz="1"/>
              <w:bottom w:val="single" w:color="D1FAE5" w:sz="1"/>
              <w:right w:val="single" w:color="D1FAE5" w:sz="1"/>
            </w:tcBorders>
            <w:shd w:fill="EEF7F6" w:val="clear"/>
            <w:tcMar>
              <w:top w:type="dxa" w:w="80"/>
              <w:left w:type="dxa" w:w="160"/>
              <w:bottom w:type="dxa" w:w="80"/>
              <w:right w:type="dxa" w:w="160"/>
            </w:tcMar>
          </w:tcPr>
          <w:p>
            <w:pPr>
              <w:spacing w:after="60"/>
            </w:pPr>
            <w:r>
              <w:rPr>
                <w:rFonts w:ascii="Arial" w:cs="Arial" w:eastAsia="Arial" w:hAnsi="Arial"/>
                <w:b/>
                <w:bCs/>
                <w:color w:val="1F2937"/>
                <w:sz w:val="19"/>
                <w:szCs w:val="19"/>
              </w:rPr>
              <w:t xml:space="preserve">Apply to LVL UP Labs (immediately after Delaware confirmation)</w:t>
            </w:r>
          </w:p>
          <w:p>
            <w:pPr>
              <w:spacing w:after="60"/>
            </w:pPr>
            <w:r>
              <w:rPr>
                <w:rFonts w:ascii="Arial" w:cs="Arial" w:eastAsia="Arial" w:hAnsi="Arial"/>
                <w:color w:val="1F2937"/>
                <w:sz w:val="19"/>
                <w:szCs w:val="19"/>
              </w:rPr>
              <w:t xml:space="preserve">Start Techstars Europe application (deadline June 10 — start now)</w:t>
            </w:r>
          </w:p>
          <w:p>
            <w:pPr>
              <w:spacing w:after="60"/>
            </w:pPr>
            <w:r>
              <w:rPr>
                <w:rFonts w:ascii="Arial" w:cs="Arial" w:eastAsia="Arial" w:hAnsi="Arial"/>
                <w:color w:val="1F2937"/>
                <w:sz w:val="19"/>
                <w:szCs w:val="19"/>
              </w:rPr>
              <w:t xml:space="preserve">Confirm Germany entity pathway with Alph for ESA Kick-starts</w:t>
            </w:r>
          </w:p>
          <w:p>
            <w:pPr>
              <w:spacing w:after="60"/>
            </w:pPr>
            <w:r>
              <w:rPr>
                <w:rFonts w:ascii="Arial" w:cs="Arial" w:eastAsia="Arial" w:hAnsi="Arial"/>
                <w:color w:val="1F2937"/>
                <w:sz w:val="19"/>
                <w:szCs w:val="19"/>
              </w:rPr>
              <w:t xml:space="preserve">Reach out to Deep Learning Indaba re: grants</w:t>
            </w:r>
          </w:p>
          <w:p>
            <w:pPr>
              <w:spacing w:after="0"/>
            </w:pPr>
            <w:r>
              <w:rPr>
                <w:rFonts w:ascii="Arial" w:cs="Arial" w:eastAsia="Arial" w:hAnsi="Arial"/>
                <w:color w:val="1F2937"/>
                <w:sz w:val="19"/>
                <w:szCs w:val="19"/>
              </w:rPr>
              <w:t xml:space="preserve">Each team member: identify 2–3 network contacts for outreach. Drop in WhatsApp group by May 5.</w:t>
            </w:r>
          </w:p>
        </w:tc>
      </w:tr>
      <w:tr>
        <w:tc>
          <w:tcPr>
            <w:tcW w:type="dxa" w:w="1680"/>
            <w:tcBorders>
              <w:top w:val="single" w:color="D1FAE5" w:sz="1"/>
              <w:left w:val="single" w:color="D1FAE5" w:sz="1"/>
              <w:bottom w:val="single" w:color="D1FAE5" w:sz="1"/>
              <w:right w:val="single" w:color="D1FAE5" w:sz="1"/>
            </w:tcBorders>
            <w:shd w:fill="FFFFFF" w:val="clear"/>
            <w:tcMar>
              <w:top w:type="dxa" w:w="80"/>
              <w:left w:type="dxa" w:w="160"/>
              <w:bottom w:type="dxa" w:w="80"/>
              <w:right w:type="dxa" w:w="160"/>
            </w:tcMar>
          </w:tcPr>
          <w:p>
            <w:pPr>
              <w:spacing w:after="0"/>
            </w:pPr>
            <w:r>
              <w:rPr>
                <w:rFonts w:ascii="Arial" w:cs="Arial" w:eastAsia="Arial" w:hAnsi="Arial"/>
                <w:b/>
                <w:bCs/>
                <w:color w:val="EF4444"/>
                <w:sz w:val="19"/>
                <w:szCs w:val="19"/>
              </w:rPr>
              <w:t xml:space="preserve">May 12
– May 18</w:t>
            </w:r>
          </w:p>
        </w:tc>
        <w:tc>
          <w:tcPr>
            <w:tcW w:type="dxa" w:w="8040"/>
            <w:tcBorders>
              <w:top w:val="single" w:color="D1FAE5" w:sz="1"/>
              <w:left w:val="single" w:color="D1FAE5" w:sz="1"/>
              <w:bottom w:val="single" w:color="D1FAE5" w:sz="1"/>
              <w:right w:val="single" w:color="D1FAE5" w:sz="1"/>
            </w:tcBorders>
            <w:tcMar>
              <w:top w:type="dxa" w:w="80"/>
              <w:left w:type="dxa" w:w="160"/>
              <w:bottom w:type="dxa" w:w="80"/>
              <w:right w:type="dxa" w:w="160"/>
            </w:tcMar>
          </w:tcPr>
          <w:p>
            <w:pPr>
              <w:spacing w:after="60"/>
            </w:pPr>
            <w:r>
              <w:rPr>
                <w:rFonts w:ascii="Arial" w:cs="Arial" w:eastAsia="Arial" w:hAnsi="Arial"/>
                <w:b/>
                <w:bCs/>
                <w:color w:val="1F2937"/>
                <w:sz w:val="19"/>
                <w:szCs w:val="19"/>
              </w:rPr>
              <w:t xml:space="preserve">Email Prof. Achampon (Harvard) — May 12. Use Rosalind's intro. Attach bio. Do not email before May 12.</w:t>
            </w:r>
          </w:p>
          <w:p>
            <w:pPr>
              <w:spacing w:after="60"/>
            </w:pPr>
            <w:r>
              <w:rPr>
                <w:rFonts w:ascii="Arial" w:cs="Arial" w:eastAsia="Arial" w:hAnsi="Arial"/>
                <w:color w:val="1F2937"/>
                <w:sz w:val="19"/>
                <w:szCs w:val="19"/>
              </w:rPr>
              <w:t xml:space="preserve">Apply to Generation Space</w:t>
            </w:r>
          </w:p>
          <w:p>
            <w:pPr>
              <w:spacing w:after="60"/>
            </w:pPr>
            <w:r>
              <w:rPr>
                <w:rFonts w:ascii="Arial" w:cs="Arial" w:eastAsia="Arial" w:hAnsi="Arial"/>
                <w:color w:val="1F2937"/>
                <w:sz w:val="19"/>
                <w:szCs w:val="19"/>
              </w:rPr>
              <w:t xml:space="preserve">ESA Kick-starts — final application push with Alph</w:t>
            </w:r>
          </w:p>
          <w:p>
            <w:pPr>
              <w:spacing w:after="60"/>
            </w:pPr>
            <w:r>
              <w:rPr>
                <w:rFonts w:ascii="Arial" w:cs="Arial" w:eastAsia="Arial" w:hAnsi="Arial"/>
                <w:color w:val="1F2937"/>
                <w:sz w:val="19"/>
                <w:szCs w:val="19"/>
              </w:rPr>
              <w:t xml:space="preserve">Send progress update to Olena (Setcoin). One paragraph. No ask.</w:t>
            </w:r>
          </w:p>
          <w:p>
            <w:pPr>
              <w:spacing w:after="0"/>
            </w:pPr>
            <w:r>
              <w:rPr>
                <w:rFonts w:ascii="Arial" w:cs="Arial" w:eastAsia="Arial" w:hAnsi="Arial"/>
                <w:color w:val="1F2937"/>
                <w:sz w:val="19"/>
                <w:szCs w:val="19"/>
              </w:rPr>
              <w:t xml:space="preserve">Follow up with Prof. Achampon if no response by May 14</w:t>
            </w:r>
          </w:p>
        </w:tc>
      </w:tr>
      <w:tr>
        <w:tc>
          <w:tcPr>
            <w:tcW w:type="dxa" w:w="1680"/>
            <w:tcBorders>
              <w:top w:val="single" w:color="D1FAE5" w:sz="1"/>
              <w:left w:val="single" w:color="D1FAE5" w:sz="1"/>
              <w:bottom w:val="single" w:color="D1FAE5" w:sz="1"/>
              <w:right w:val="single" w:color="D1FAE5" w:sz="1"/>
            </w:tcBorders>
            <w:shd w:fill="EEF7F6" w:val="clear"/>
            <w:tcMar>
              <w:top w:type="dxa" w:w="80"/>
              <w:left w:type="dxa" w:w="160"/>
              <w:bottom w:type="dxa" w:w="80"/>
              <w:right w:type="dxa" w:w="160"/>
            </w:tcMar>
          </w:tcPr>
          <w:p>
            <w:pPr>
              <w:spacing w:after="0"/>
            </w:pPr>
            <w:r>
              <w:rPr>
                <w:rFonts w:ascii="Arial" w:cs="Arial" w:eastAsia="Arial" w:hAnsi="Arial"/>
                <w:b/>
                <w:bCs/>
                <w:color w:val="F59E0B"/>
                <w:sz w:val="19"/>
                <w:szCs w:val="19"/>
              </w:rPr>
              <w:t xml:space="preserve">May 19
– May 31</w:t>
            </w:r>
          </w:p>
        </w:tc>
        <w:tc>
          <w:tcPr>
            <w:tcW w:type="dxa" w:w="8040"/>
            <w:tcBorders>
              <w:top w:val="single" w:color="D1FAE5" w:sz="1"/>
              <w:left w:val="single" w:color="D1FAE5" w:sz="1"/>
              <w:bottom w:val="single" w:color="D1FAE5" w:sz="1"/>
              <w:right w:val="single" w:color="D1FAE5" w:sz="1"/>
            </w:tcBorders>
            <w:shd w:fill="EEF7F6" w:val="clear"/>
            <w:tcMar>
              <w:top w:type="dxa" w:w="80"/>
              <w:left w:type="dxa" w:w="160"/>
              <w:bottom w:type="dxa" w:w="80"/>
              <w:right w:type="dxa" w:w="160"/>
            </w:tcMar>
          </w:tcPr>
          <w:p>
            <w:pPr>
              <w:spacing w:after="60"/>
            </w:pPr>
            <w:r>
              <w:rPr>
                <w:rFonts w:ascii="Arial" w:cs="Arial" w:eastAsia="Arial" w:hAnsi="Arial"/>
                <w:b/>
                <w:bCs/>
                <w:color w:val="1F2937"/>
                <w:sz w:val="19"/>
                <w:szCs w:val="19"/>
              </w:rPr>
              <w:t xml:space="preserve">Submit ESA Kick-starts by May 29 — hard deadline</w:t>
            </w:r>
          </w:p>
          <w:p>
            <w:pPr>
              <w:spacing w:after="60"/>
            </w:pPr>
            <w:r>
              <w:rPr>
                <w:rFonts w:ascii="Arial" w:cs="Arial" w:eastAsia="Arial" w:hAnsi="Arial"/>
                <w:color w:val="1F2937"/>
                <w:sz w:val="19"/>
                <w:szCs w:val="19"/>
              </w:rPr>
              <w:t xml:space="preserve">SPACERAISE 2026 — L'Aquila, Italy. Represent IOLA. Meet Moira if timing aligns.</w:t>
            </w:r>
          </w:p>
          <w:p>
            <w:pPr>
              <w:spacing w:after="60"/>
            </w:pPr>
            <w:r>
              <w:rPr>
                <w:rFonts w:ascii="Arial" w:cs="Arial" w:eastAsia="Arial" w:hAnsi="Arial"/>
                <w:color w:val="1F2937"/>
                <w:sz w:val="19"/>
                <w:szCs w:val="19"/>
              </w:rPr>
              <w:t xml:space="preserve">Follow up on all accelerator applications submitted earlier in the month</w:t>
            </w:r>
          </w:p>
          <w:p>
            <w:pPr>
              <w:spacing w:after="60"/>
            </w:pPr>
            <w:r>
              <w:rPr>
                <w:rFonts w:ascii="Arial" w:cs="Arial" w:eastAsia="Arial" w:hAnsi="Arial"/>
                <w:color w:val="1F2937"/>
                <w:sz w:val="19"/>
                <w:szCs w:val="19"/>
              </w:rPr>
              <w:t xml:space="preserve">Complete Techstars Europe application</w:t>
            </w:r>
          </w:p>
          <w:p>
            <w:pPr>
              <w:spacing w:after="0"/>
            </w:pPr>
            <w:r>
              <w:rPr>
                <w:rFonts w:ascii="Arial" w:cs="Arial" w:eastAsia="Arial" w:hAnsi="Arial"/>
                <w:color w:val="1F2937"/>
                <w:sz w:val="19"/>
                <w:szCs w:val="19"/>
              </w:rPr>
              <w:t xml:space="preserve">End-of-month review: what landed, what is pending, what moves to June</w:t>
            </w:r>
          </w:p>
        </w:tc>
      </w:tr>
    </w:tbl>
    <w:p>
      <w:pPr>
        <w:spacing w:after="80" w:before="60"/>
      </w:pPr>
    </w:p>
    <w:p>
      <w:pPr>
        <w:pBdr>
          <w:bottom w:val="single" w:color="00897B" w:sz="4" w:space="4"/>
        </w:pBdr>
        <w:spacing w:after="120" w:before="340"/>
      </w:pPr>
      <w:r>
        <w:rPr>
          <w:rFonts w:ascii="Arial" w:cs="Arial" w:eastAsia="Arial" w:hAnsi="Arial"/>
          <w:b/>
          <w:bCs/>
          <w:color w:val="00897B"/>
          <w:spacing w:val="40"/>
          <w:sz w:val="18"/>
          <w:szCs w:val="18"/>
        </w:rPr>
        <w:t xml:space="preserve">7. MAY NORTH STAR</w:t>
      </w:r>
    </w:p>
    <w:p>
      <w:pPr>
        <w:spacing w:after="40" w:before="40"/>
      </w:pPr>
    </w:p>
    <w:p>
      <w:pPr>
        <w:pBdr>
          <w:left w:val="single" w:color="00897B" w:sz="12" w:space="8"/>
        </w:pBdr>
        <w:shd w:fill="EEF7F6" w:val="clear"/>
        <w:spacing w:after="160" w:line="320"/>
        <w:ind w:left="240"/>
      </w:pPr>
      <w:r>
        <w:rPr>
          <w:rFonts w:ascii="Arial" w:cs="Arial" w:eastAsia="Arial" w:hAnsi="Arial"/>
          <w:b w:val="false"/>
          <w:bCs w:val="false"/>
          <w:color w:val="0D1B2A"/>
          <w:sz w:val="22"/>
          <w:szCs w:val="22"/>
        </w:rPr>
        <w:t xml:space="preserve">By the end of May: Delaware C-Corp registered. ESA Kick-starts submitted. Black Flag and LVL UP Labs applications in. Harvard network opened via Prof. Achampon. Parsa deck sent and conversation active. Moira intro in progress via Michael. SPACERAISE attended. At least two warm investor conversations moving toward a follow-up call.</w:t>
      </w:r>
    </w:p>
    <w:p>
      <w:pPr>
        <w:spacing w:after="40" w:before="60"/>
      </w:pPr>
    </w:p>
    <w:p>
      <w:pPr>
        <w:spacing w:after="120" w:line="276"/>
      </w:pPr>
      <w:r>
        <w:rPr>
          <w:rFonts w:ascii="Arial" w:cs="Arial" w:eastAsia="Arial" w:hAnsi="Arial"/>
          <w:b w:val="false"/>
          <w:bCs w:val="false"/>
          <w:i/>
          <w:iCs/>
          <w:color w:val="6B7280"/>
          <w:sz w:val="21"/>
          <w:szCs w:val="21"/>
        </w:rPr>
        <w:t xml:space="preserve">This is the month where structure meets execution. Every item above has been identified, context is clear, and the only thing left is doing it.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Ikirere Orbital Labs Africa  |  ikirere.com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IOLA — May 2026 Goals &amp; Deadlines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64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2026-04-26T12:52:05.265Z</dcterms:created>
  <dcterms:modified xsi:type="dcterms:W3CDTF">2026-04-26T12:52:05.267Z</dcterms:modified>
</cp:coreProperties>
</file>

<file path=docProps/custom.xml><?xml version="1.0" encoding="utf-8"?>
<Properties xmlns="http://schemas.openxmlformats.org/officeDocument/2006/custom-properties" xmlns:vt="http://schemas.openxmlformats.org/officeDocument/2006/docPropsVTypes"/>
</file>