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B45309"/>
          <w:sz w:val="44"/>
          <w:szCs w:val="44"/>
        </w:rPr>
        <w:t xml:space="preserve">Guía de uso para estudiantes</w:t>
      </w:r>
    </w:p>
    <w:p>
      <w:pPr>
        <w:spacing w:after="60"/>
      </w:pPr>
      <w:r>
        <w:rPr>
          <w:color w:val="5C5A55"/>
          <w:sz w:val="28"/>
          <w:szCs w:val="28"/>
        </w:rPr>
        <w:t xml:space="preserve">Simulador de Valor Tiempo del Dinero</w:t>
      </w:r>
    </w:p>
    <w:p>
      <w:pPr>
        <w:pBdr>
          <w:bottom w:val="single" w:color="DEDCD6" w:sz="8" w:space="12"/>
        </w:pBdr>
        <w:spacing w:after="400"/>
      </w:pPr>
      <w:r>
        <w:rPr>
          <w:i/>
          <w:iCs/>
          <w:color w:val="5C5A55"/>
          <w:sz w:val="20"/>
          <w:szCs w:val="20"/>
        </w:rPr>
        <w:t xml:space="preserve">Cátedra de Economía / Finanzas — Nivel introductorio universitario</w:t>
      </w:r>
    </w:p>
    <w:p>
      <w:pPr>
        <w:pStyle w:val="Heading1"/>
        <w:spacing w:after="160" w:before="300"/>
      </w:pPr>
      <w:r>
        <w:t xml:space="preserve">¿Qué es esta herramienta?</w:t>
      </w:r>
    </w:p>
    <w:p>
      <w:pPr>
        <w:spacing w:after="140"/>
      </w:pPr>
      <w:r>
        <w:t xml:space="preserve">El simulador es una calculadora financiera interactiva pensada para acompañar el aprendizaje de los conceptos centrales del valor tiempo del dinero (VTD). Permite ingresar distintos valores, ver el resultado inmediato y — lo más importante — entender cómo se llega a ese resultado: qué fórmula se aplica y por qué el resultado cambia según los parámetros.</w:t>
      </w:r>
    </w:p>
    <w:p>
      <w:pPr>
        <w:spacing w:after="140"/>
      </w:pPr>
      <w:r>
        <w:t xml:space="preserve">Está organizada en cuatro pestañas, cada una dedicada a un bloque temático. No hace falta recorrerlas en orden estricto, pero se recomienda seguir la secuencia de esta guía la primera vez, ya que los conceptos de una pestaña se apoyan en los de la anterior.</w:t>
      </w:r>
    </w:p>
    <w:p>
      <w:pPr>
        <w:pStyle w:val="Heading1"/>
        <w:spacing w:after="160" w:before="300"/>
      </w:pPr>
      <w:r>
        <w:t xml:space="preserve">Antes de empezar: la idea central del VTD</w:t>
      </w:r>
    </w:p>
    <w:p>
      <w:pPr>
        <w:spacing w:after="140"/>
      </w:pPr>
      <w:r>
        <w:t xml:space="preserve">Todo el simulador gira en torno a una idea simple pero fundamental en finanzas: un peso hoy no vale lo mismo que un peso dentro de un año. Esto no es solo por la inflación — incluso en un mundo sin inflación, un peso disponible hoy se puede invertir y generar interés, así que "vale más" que un peso que se recibirá en el futuro.</w:t>
      </w:r>
    </w:p>
    <w:p>
      <w:pPr>
        <w:spacing w:after="140"/>
      </w:pPr>
      <w:r>
        <w:t xml:space="preserve">De ahí surgen dos operaciones básicas que van a aparecer todo el tiempo:</w:t>
      </w:r>
    </w:p>
    <w:p>
      <w:pPr>
        <w:pStyle w:val="ListParagraph"/>
        <w:numPr>
          <w:ilvl w:val="0"/>
          <w:numId w:val="2"/>
        </w:numPr>
        <w:spacing w:after="80"/>
      </w:pPr>
      <w:r>
        <w:t xml:space="preserve">Valor Futuro (VF): cuánto va a valer, en el futuro, un monto que tengo hoy (o que voy a recibir/pagar periódicamente).</w:t>
      </w:r>
    </w:p>
    <w:p>
      <w:pPr>
        <w:pStyle w:val="ListParagraph"/>
        <w:numPr>
          <w:ilvl w:val="0"/>
          <w:numId w:val="2"/>
        </w:numPr>
        <w:spacing w:after="80"/>
      </w:pPr>
      <w:r>
        <w:t xml:space="preserve">Valor Presente (VP): cuánto vale hoy un monto que voy a recibir o pagar en el futuro.</w:t>
      </w:r>
    </w:p>
    <w:p>
      <w:pPr>
        <w:spacing w:after="140"/>
      </w:pPr>
      <w:r>
        <w:t xml:space="preserve">Todas las pestañas del simulador son variaciones de estas dos preguntas, aplicadas a distintos contextos: un capital único, una serie de pagos, o un préstamo.</w:t>
      </w:r>
    </w:p>
    <w:p>
      <w:pPr>
        <w:pStyle w:val="Heading1"/>
        <w:spacing w:after="160" w:before="300"/>
      </w:pPr>
      <w:r>
        <w:t xml:space="preserve">Pestaña 1 — Capital único</w:t>
      </w:r>
    </w:p>
    <w:p>
      <w:pPr>
        <w:spacing w:after="140"/>
      </w:pPr>
      <w:r>
        <w:t xml:space="preserve">Esta pestaña responde la pregunta más básica: si tengo (o voy a tener) un monto de dinero en un solo momento, ¿cuánto vale ese monto en otro momento del tiempo?</w:t>
      </w:r>
    </w:p>
    <w:p>
      <w:pPr>
        <w:pStyle w:val="Heading2"/>
        <w:spacing w:after="120" w:before="260"/>
      </w:pPr>
      <w:r>
        <w:t xml:space="preserve">Campos a completar</w:t>
      </w:r>
    </w:p>
    <w:p>
      <w:pPr>
        <w:pStyle w:val="ListParagraph"/>
        <w:numPr>
          <w:ilvl w:val="0"/>
          <w:numId w:val="2"/>
        </w:numPr>
        <w:spacing w:after="80"/>
      </w:pPr>
      <w:r>
        <w:t xml:space="preserve">Capital inicial ($): el monto de partida.</w:t>
      </w:r>
    </w:p>
    <w:p>
      <w:pPr>
        <w:pStyle w:val="ListParagraph"/>
        <w:numPr>
          <w:ilvl w:val="0"/>
          <w:numId w:val="2"/>
        </w:numPr>
        <w:spacing w:after="80"/>
      </w:pPr>
      <w:r>
        <w:t xml:space="preserve">Tasa por período (%): la tasa de interés correspondiente a cada período de tiempo elegido.</w:t>
      </w:r>
    </w:p>
    <w:p>
      <w:pPr>
        <w:pStyle w:val="ListParagraph"/>
        <w:numPr>
          <w:ilvl w:val="0"/>
          <w:numId w:val="2"/>
        </w:numPr>
        <w:spacing w:after="80"/>
      </w:pPr>
      <w:r>
        <w:t xml:space="preserve">Cantidad de períodos: cuántos períodos van a transcurrir. Un período puede ser un año, un mes, un día — lo importante es que la tasa esté expresada en esa misma unidad.</w:t>
      </w:r>
    </w:p>
    <w:p>
      <w:pPr>
        <w:pStyle w:val="Heading2"/>
        <w:spacing w:after="120" w:before="260"/>
      </w:pPr>
      <w:r>
        <w:t xml:space="preserve">Interés simple vs. interés compuesto</w:t>
      </w:r>
    </w:p>
    <w:p>
      <w:pPr>
        <w:spacing w:after="140"/>
      </w:pPr>
      <w:r>
        <w:t xml:space="preserve">La pestaña calcula el resultado de las dos maneras posibles, para que se pueda comparar:</w:t>
      </w:r>
    </w:p>
    <w:p>
      <w:pPr>
        <w:pBdr>
          <w:top w:val="single" w:color="DEDCD6" w:sz="2"/>
          <w:bottom w:val="single" w:color="DEDCD6" w:sz="2"/>
          <w:left w:val="single" w:color="DEDCD6" w:sz="2"/>
          <w:right w:val="single" w:color="DEDCD6" w:sz="2"/>
        </w:pBdr>
        <w:shd w:fill="F2F1EE" w:val="clear"/>
        <w:spacing w:after="160" w:before="80"/>
        <w:ind w:left="200" w:right="200"/>
      </w:pPr>
      <w:r>
        <w:rPr>
          <w:rFonts w:ascii="Consolas" w:cs="Consolas" w:eastAsia="Consolas" w:hAnsi="Consolas"/>
          <w:sz w:val="21"/>
          <w:szCs w:val="21"/>
        </w:rPr>
        <w:t xml:space="preserve">Interés simple:      VF = Capital × (1 + tasa × períodos)</w:t>
      </w:r>
    </w:p>
    <w:p>
      <w:pPr>
        <w:pBdr>
          <w:top w:val="single" w:color="DEDCD6" w:sz="2"/>
          <w:bottom w:val="single" w:color="DEDCD6" w:sz="2"/>
          <w:left w:val="single" w:color="DEDCD6" w:sz="2"/>
          <w:right w:val="single" w:color="DEDCD6" w:sz="2"/>
        </w:pBdr>
        <w:shd w:fill="F2F1EE" w:val="clear"/>
        <w:spacing w:after="160" w:before="80"/>
        <w:ind w:left="200" w:right="200"/>
      </w:pPr>
      <w:r>
        <w:rPr>
          <w:rFonts w:ascii="Consolas" w:cs="Consolas" w:eastAsia="Consolas" w:hAnsi="Consolas"/>
          <w:sz w:val="21"/>
          <w:szCs w:val="21"/>
        </w:rPr>
        <w:t xml:space="preserve">Interés compuesto:   VF = Capital × (1 + tasa) ^ períodos</w:t>
      </w:r>
    </w:p>
    <w:p>
      <w:pPr>
        <w:spacing w:after="140"/>
      </w:pPr>
      <w:r>
        <w:t xml:space="preserve">La diferencia conceptual es la siguiente: con interés simple, los intereses se calculan siempre sobre el capital original — nunca se acumulan entre sí. Con interés compuesto, en cambio, los intereses generados en un período se suman al capital y en el período siguiente también generan interés ("interés sobre interés").</w:t>
      </w:r>
    </w:p>
    <w:p>
      <w:pPr>
        <w:pBdr>
          <w:left w:val="single" w:color="B45309" w:sz="12"/>
        </w:pBdr>
        <w:shd w:fill="FBF3E7" w:val="clear"/>
        <w:spacing w:after="200" w:before="80"/>
        <w:ind w:left="200" w:right="200"/>
      </w:pPr>
      <w:r>
        <w:rPr>
          <w:b/>
          <w:bCs/>
          <w:color w:val="B45309"/>
        </w:rPr>
        <w:t xml:space="preserve">Nota: </w:t>
      </w:r>
      <w:r>
        <w:t xml:space="preserve">En la práctica financiera real (plazos fijos, préstamos, inversiones a más de un período), casi todo funciona con interés compuesto. El interés simple aparece sobre todo en operaciones muy cortas o como punto de partida pedagógico para entender la diferencia.</w:t>
      </w:r>
    </w:p>
    <w:p>
      <w:pPr>
        <w:spacing w:after="140"/>
      </w:pPr>
      <w:r>
        <w:t xml:space="preserve">El gráfico de esta pestaña muestra visualmente esa diferencia: el interés simple crece en línea recta, mientras que el compuesto dibuja una curva que se acelera con el tiempo. Cuantos más períodos, mayor es la brecha entre ambos.</w:t>
      </w:r>
    </w:p>
    <w:p>
      <w:pPr>
        <w:pStyle w:val="Heading1"/>
        <w:spacing w:after="160" w:before="300"/>
      </w:pPr>
      <w:r>
        <w:t xml:space="preserve">Pestaña 2 — Anualidades</w:t>
      </w:r>
    </w:p>
    <w:p>
      <w:pPr>
        <w:spacing w:after="140"/>
      </w:pPr>
      <w:r>
        <w:t xml:space="preserve">Una anualidad es una serie de pagos (o cobros) de igual monto, que se repiten a intervalos regulares de tiempo. Ejemplos: un alquiler mensual, un plan de ahorro con aportes fijos, o las cuotas de un préstamo.</w:t>
      </w:r>
    </w:p>
    <w:p>
      <w:pPr>
        <w:pStyle w:val="Heading2"/>
        <w:spacing w:after="120" w:before="260"/>
      </w:pPr>
      <w:r>
        <w:t xml:space="preserve">Campos a completar</w:t>
      </w:r>
    </w:p>
    <w:p>
      <w:pPr>
        <w:pStyle w:val="ListParagraph"/>
        <w:numPr>
          <w:ilvl w:val="0"/>
          <w:numId w:val="2"/>
        </w:numPr>
        <w:spacing w:after="80"/>
      </w:pPr>
      <w:r>
        <w:t xml:space="preserve">Cuota periódica ($): el monto fijo que se paga o cobra en cada período.</w:t>
      </w:r>
    </w:p>
    <w:p>
      <w:pPr>
        <w:pStyle w:val="ListParagraph"/>
        <w:numPr>
          <w:ilvl w:val="0"/>
          <w:numId w:val="2"/>
        </w:numPr>
        <w:spacing w:after="80"/>
      </w:pPr>
      <w:r>
        <w:t xml:space="preserve">Tasa por período (%): debe estar en la misma unidad de tiempo que la cuota (si la cuota es mensual, la tasa también).</w:t>
      </w:r>
    </w:p>
    <w:p>
      <w:pPr>
        <w:pStyle w:val="ListParagraph"/>
        <w:numPr>
          <w:ilvl w:val="0"/>
          <w:numId w:val="2"/>
        </w:numPr>
        <w:spacing w:after="80"/>
      </w:pPr>
      <w:r>
        <w:t xml:space="preserve">Cantidad de períodos: cuántas cuotas en total.</w:t>
      </w:r>
    </w:p>
    <w:p>
      <w:pPr>
        <w:pStyle w:val="Heading2"/>
        <w:spacing w:after="120" w:before="260"/>
      </w:pPr>
      <w:r>
        <w:t xml:space="preserve">Qué calcula</w:t>
      </w:r>
    </w:p>
    <w:p>
      <w:pPr>
        <w:pBdr>
          <w:top w:val="single" w:color="DEDCD6" w:sz="2"/>
          <w:bottom w:val="single" w:color="DEDCD6" w:sz="2"/>
          <w:left w:val="single" w:color="DEDCD6" w:sz="2"/>
          <w:right w:val="single" w:color="DEDCD6" w:sz="2"/>
        </w:pBdr>
        <w:shd w:fill="F2F1EE" w:val="clear"/>
        <w:spacing w:after="160" w:before="80"/>
        <w:ind w:left="200" w:right="200"/>
      </w:pPr>
      <w:r>
        <w:rPr>
          <w:rFonts w:ascii="Consolas" w:cs="Consolas" w:eastAsia="Consolas" w:hAnsi="Consolas"/>
          <w:sz w:val="21"/>
          <w:szCs w:val="21"/>
        </w:rPr>
        <w:t xml:space="preserve">VF = Cuota × [(1 + tasa)^n − 1] / tasa</w:t>
      </w:r>
    </w:p>
    <w:p>
      <w:pPr>
        <w:pBdr>
          <w:top w:val="single" w:color="DEDCD6" w:sz="2"/>
          <w:bottom w:val="single" w:color="DEDCD6" w:sz="2"/>
          <w:left w:val="single" w:color="DEDCD6" w:sz="2"/>
          <w:right w:val="single" w:color="DEDCD6" w:sz="2"/>
        </w:pBdr>
        <w:shd w:fill="F2F1EE" w:val="clear"/>
        <w:spacing w:after="160" w:before="80"/>
        <w:ind w:left="200" w:right="200"/>
      </w:pPr>
      <w:r>
        <w:rPr>
          <w:rFonts w:ascii="Consolas" w:cs="Consolas" w:eastAsia="Consolas" w:hAnsi="Consolas"/>
          <w:sz w:val="21"/>
          <w:szCs w:val="21"/>
        </w:rPr>
        <w:t xml:space="preserve">VP = Cuota × [1 − (1 + tasa)^−n] / tasa</w:t>
      </w:r>
    </w:p>
    <w:p>
      <w:pPr>
        <w:spacing w:after="140"/>
      </w:pPr>
      <w:r>
        <w:t xml:space="preserve">El VF responde "¿cuánto voy a acumular al final, sumando e invirtiendo todas las cuotas?". El VP responde "¿cuánto vale hoy toda esa serie de pagos futuros?" — es la lógica detrás, por ejemplo, de calcular cuánto puedo pedir prestado si sé cuánto puedo pagar de cuota.</w:t>
      </w:r>
    </w:p>
    <w:p>
      <w:pPr>
        <w:pStyle w:val="Heading1"/>
        <w:spacing w:after="160" w:before="300"/>
      </w:pPr>
      <w:r>
        <w:t xml:space="preserve">Pestaña 3 — Conversión de tasas</w:t>
      </w:r>
    </w:p>
    <w:p>
      <w:pPr>
        <w:spacing w:after="140"/>
      </w:pPr>
      <w:r>
        <w:t xml:space="preserve">Esta pestaña resuelve un problema muy común: las tasas de interés se publican de formas distintas y no siempre son directamente comparables entre sí.</w:t>
      </w:r>
    </w:p>
    <w:p>
      <w:pPr>
        <w:pStyle w:val="Heading2"/>
        <w:spacing w:after="120" w:before="260"/>
      </w:pPr>
      <w:r>
        <w:t xml:space="preserve">Los conceptos en juego</w:t>
      </w:r>
    </w:p>
    <w:p>
      <w:pPr>
        <w:pStyle w:val="ListParagraph"/>
        <w:numPr>
          <w:ilvl w:val="0"/>
          <w:numId w:val="2"/>
        </w:numPr>
        <w:spacing w:after="80"/>
      </w:pPr>
      <w:r>
        <w:t xml:space="preserve">TNA (Tasa Nominal Anual): la tasa "de etiqueta" — no tiene en cuenta cuántas veces al año se capitaliza el interés.</w:t>
      </w:r>
    </w:p>
    <w:p>
      <w:pPr>
        <w:pStyle w:val="ListParagraph"/>
        <w:numPr>
          <w:ilvl w:val="0"/>
          <w:numId w:val="2"/>
        </w:numPr>
        <w:spacing w:after="80"/>
      </w:pPr>
      <w:r>
        <w:t xml:space="preserve">TEA (Tasa Efectiva Anual): la tasa real que se termina pagando o cobrando en un año, una vez que se incorpora el efecto de la capitalización.</w:t>
      </w:r>
    </w:p>
    <w:p>
      <w:pPr>
        <w:pStyle w:val="ListParagraph"/>
        <w:numPr>
          <w:ilvl w:val="0"/>
          <w:numId w:val="2"/>
        </w:numPr>
        <w:spacing w:after="80"/>
      </w:pPr>
      <w:r>
        <w:t xml:space="preserve">TEM (Tasa Efectiva Mensual): el equivalente mensual de la TEA. Es muy usada en la práctica argentina (plazos fijos, tarjetas de crédito) para comparar tasas mes a mes.</w:t>
      </w:r>
    </w:p>
    <w:p>
      <w:pPr>
        <w:pBdr>
          <w:top w:val="single" w:color="DEDCD6" w:sz="2"/>
          <w:bottom w:val="single" w:color="DEDCD6" w:sz="2"/>
          <w:left w:val="single" w:color="DEDCD6" w:sz="2"/>
          <w:right w:val="single" w:color="DEDCD6" w:sz="2"/>
        </w:pBdr>
        <w:shd w:fill="F2F1EE" w:val="clear"/>
        <w:spacing w:after="160" w:before="80"/>
        <w:ind w:left="200" w:right="200"/>
      </w:pPr>
      <w:r>
        <w:rPr>
          <w:rFonts w:ascii="Consolas" w:cs="Consolas" w:eastAsia="Consolas" w:hAnsi="Consolas"/>
          <w:sz w:val="21"/>
          <w:szCs w:val="21"/>
        </w:rPr>
        <w:t xml:space="preserve">TEA = (1 + TNA / m)^m − 1        (m = capitalizaciones por año)</w:t>
      </w:r>
    </w:p>
    <w:p>
      <w:pPr>
        <w:pBdr>
          <w:top w:val="single" w:color="DEDCD6" w:sz="2"/>
          <w:bottom w:val="single" w:color="DEDCD6" w:sz="2"/>
          <w:left w:val="single" w:color="DEDCD6" w:sz="2"/>
          <w:right w:val="single" w:color="DEDCD6" w:sz="2"/>
        </w:pBdr>
        <w:shd w:fill="F2F1EE" w:val="clear"/>
        <w:spacing w:after="160" w:before="80"/>
        <w:ind w:left="200" w:right="200"/>
      </w:pPr>
      <w:r>
        <w:rPr>
          <w:rFonts w:ascii="Consolas" w:cs="Consolas" w:eastAsia="Consolas" w:hAnsi="Consolas"/>
          <w:sz w:val="21"/>
          <w:szCs w:val="21"/>
        </w:rPr>
        <w:t xml:space="preserve">TEM = (1 + TEA)^(1/12) − 1</w:t>
      </w:r>
    </w:p>
    <w:p>
      <w:pPr>
        <w:spacing w:after="140"/>
      </w:pPr>
      <w:r>
        <w:t xml:space="preserve">El punto pedagógico central acá es que una misma TNA puede dar TEAs distintas según cuántas veces al año se capitalice el interés. El gráfico de esta pestaña permite ver ese efecto: a mayor frecuencia de capitalización, mayor la TEA resultante, aunque la TNA no cambie.</w:t>
      </w:r>
    </w:p>
    <w:p>
      <w:pPr>
        <w:pBdr>
          <w:left w:val="single" w:color="B45309" w:sz="12"/>
        </w:pBdr>
        <w:shd w:fill="FBF3E7" w:val="clear"/>
        <w:spacing w:after="200" w:before="80"/>
        <w:ind w:left="200" w:right="200"/>
      </w:pPr>
      <w:r>
        <w:rPr>
          <w:b/>
          <w:bCs/>
          <w:color w:val="B45309"/>
        </w:rPr>
        <w:t xml:space="preserve">Nota: </w:t>
      </w:r>
      <w:r>
        <w:t xml:space="preserve">Esto explica por qué, al comparar dos productos financieros, no alcanza con mirar la TNA: hay que fijarse también con qué frecuencia capitalizan.</w:t>
      </w:r>
    </w:p>
    <w:p>
      <w:pPr>
        <w:pStyle w:val="Heading1"/>
        <w:spacing w:after="160" w:before="300"/>
      </w:pPr>
      <w:r>
        <w:t xml:space="preserve">Pestaña 4 — Amortización de préstamos</w:t>
      </w:r>
    </w:p>
    <w:p>
      <w:pPr>
        <w:spacing w:after="140"/>
      </w:pPr>
      <w:r>
        <w:t xml:space="preserve">Esta pestaña muestra cómo se devuelve un préstamo a lo largo del tiempo, cuota por cuota, bajo tres sistemas distintos. Los tres devuelven el mismo capital total, pero distribuyen los pagos de manera diferente.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F2F1EE" w:val="clear"/>
          </w:tcPr>
          <w:p>
            <w:r>
              <w:rPr>
                <w:b/>
                <w:bCs/>
                <w:sz w:val="20"/>
                <w:szCs w:val="20"/>
              </w:rPr>
              <w:t xml:space="preserve">Sistema</w:t>
            </w:r>
          </w:p>
        </w:tc>
        <w:tc>
          <w:tcPr>
            <w:tcW w:type="dxa" w:w="4500"/>
            <w:shd w:fill="F2F1EE" w:val="clear"/>
          </w:tcPr>
          <w:p>
            <w:r>
              <w:rPr>
                <w:b/>
                <w:bCs/>
                <w:sz w:val="20"/>
                <w:szCs w:val="20"/>
              </w:rPr>
              <w:t xml:space="preserve">Cómo funciona</w:t>
            </w:r>
          </w:p>
        </w:tc>
      </w:tr>
      <w:tr>
        <w:tc>
          <w:tcPr>
            <w:tcW w:type="dxa" w:w="4500"/>
          </w:tcPr>
          <w:p>
            <w:r>
              <w:rPr>
                <w:sz w:val="20"/>
                <w:szCs w:val="20"/>
              </w:rPr>
              <w:t xml:space="preserve">Francés</w:t>
            </w:r>
          </w:p>
        </w:tc>
        <w:tc>
          <w:tcPr>
            <w:tcW w:type="dxa" w:w="4500"/>
          </w:tcPr>
          <w:p>
            <w:r>
              <w:rPr>
                <w:sz w:val="20"/>
                <w:szCs w:val="20"/>
              </w:rPr>
              <w:t xml:space="preserve">La cuota total es fija en todos los períodos. Lo que cambia, período a período, es la proporción entre interés y amortización de capital: al principio se paga más interés, al final más capital.</w:t>
            </w:r>
          </w:p>
        </w:tc>
      </w:tr>
      <w:tr>
        <w:tc>
          <w:tcPr>
            <w:tcW w:type="dxa" w:w="4500"/>
          </w:tcPr>
          <w:p>
            <w:r>
              <w:rPr>
                <w:sz w:val="20"/>
                <w:szCs w:val="20"/>
              </w:rPr>
              <w:t xml:space="preserve">Alemán</w:t>
            </w:r>
          </w:p>
        </w:tc>
        <w:tc>
          <w:tcPr>
            <w:tcW w:type="dxa" w:w="4500"/>
          </w:tcPr>
          <w:p>
            <w:r>
              <w:rPr>
                <w:sz w:val="20"/>
                <w:szCs w:val="20"/>
              </w:rPr>
              <w:t xml:space="preserve">La amortización de capital es fija en todos los períodos (siempre se devuelve el mismo monto de capital). Como el interés se calcula sobre el saldo, que va bajando, la cuota total es decreciente.</w:t>
            </w:r>
          </w:p>
        </w:tc>
      </w:tr>
      <w:tr>
        <w:tc>
          <w:tcPr>
            <w:tcW w:type="dxa" w:w="4500"/>
          </w:tcPr>
          <w:p>
            <w:r>
              <w:rPr>
                <w:sz w:val="20"/>
                <w:szCs w:val="20"/>
              </w:rPr>
              <w:t xml:space="preserve">Americano</w:t>
            </w:r>
          </w:p>
        </w:tc>
        <w:tc>
          <w:tcPr>
            <w:tcW w:type="dxa" w:w="4500"/>
          </w:tcPr>
          <w:p>
            <w:r>
              <w:rPr>
                <w:sz w:val="20"/>
                <w:szCs w:val="20"/>
              </w:rPr>
              <w:t xml:space="preserve">Solo se pagan intereses en cada período. El capital completo se devuelve recién en la última cuota.</w:t>
            </w:r>
          </w:p>
        </w:tc>
      </w:tr>
    </w:tbl>
    <w:p>
      <w:pPr>
        <w:spacing w:after="140"/>
      </w:pPr>
      <w:r>
        <w:t xml:space="preserve"/>
      </w:r>
    </w:p>
    <w:p>
      <w:pPr>
        <w:spacing w:after="140"/>
      </w:pPr>
      <w:r>
        <w:t xml:space="preserve">La tabla de amortización muestra, cuota por cuota, cuánto corresponde a interés, cuánto a amortización de capital, la cuota total y el saldo de deuda restante. El gráfico de barras apiladas visualiza cómo cambia esa composición interés/amortización a lo largo de la vida del préstamo.</w:t>
      </w:r>
    </w:p>
    <w:p>
      <w:pPr>
        <w:pBdr>
          <w:left w:val="single" w:color="B45309" w:sz="12"/>
        </w:pBdr>
        <w:shd w:fill="FBF3E7" w:val="clear"/>
        <w:spacing w:after="200" w:before="80"/>
        <w:ind w:left="200" w:right="200"/>
      </w:pPr>
      <w:r>
        <w:rPr>
          <w:b/>
          <w:bCs/>
          <w:color w:val="B45309"/>
        </w:rPr>
        <w:t xml:space="preserve">Nota: </w:t>
      </w:r>
      <w:r>
        <w:t xml:space="preserve">Comparar los tres sistemas con el mismo monto, tasa y plazo es un buen ejercicio para entender que "la cuota más baja al principio" no significa necesariamente "el préstamo más barato": hay que mirar el total de intereses pagados a lo largo de todo el préstamo.</w:t>
      </w:r>
    </w:p>
    <w:p>
      <w:pPr>
        <w:pStyle w:val="Heading1"/>
        <w:spacing w:after="160" w:before="300"/>
      </w:pPr>
      <w:r>
        <w:t xml:space="preserve">Herramientas de apoyo dentro del simulador</w:t>
      </w:r>
    </w:p>
    <w:p>
      <w:pPr>
        <w:pStyle w:val="ListParagraph"/>
        <w:numPr>
          <w:ilvl w:val="0"/>
          <w:numId w:val="2"/>
        </w:numPr>
        <w:spacing w:after="80"/>
      </w:pPr>
      <w:r>
        <w:t xml:space="preserve">Ícono ⓘ (tooltip): pasando el cursor o tocando el ícono junto a cada campo aparece una explicación breve de qué significa esa variable.</w:t>
      </w:r>
    </w:p>
    <w:p>
      <w:pPr>
        <w:pStyle w:val="ListParagraph"/>
        <w:numPr>
          <w:ilvl w:val="0"/>
          <w:numId w:val="2"/>
        </w:numPr>
        <w:spacing w:after="80"/>
      </w:pPr>
      <w:r>
        <w:t xml:space="preserve">Botones de ejemplo: cargan un caso típico ya completado (plazo fijo, préstamo hipotecario, etc.) para explorar la herramienta sin tener que inventar los números.</w:t>
      </w:r>
    </w:p>
    <w:p>
      <w:pPr>
        <w:pStyle w:val="ListParagraph"/>
        <w:numPr>
          <w:ilvl w:val="0"/>
          <w:numId w:val="2"/>
        </w:numPr>
        <w:spacing w:after="80"/>
      </w:pPr>
      <w:r>
        <w:t xml:space="preserve">Botón "Resetear": vuelve los campos de esa pestaña a sus valores iniciales.</w:t>
      </w:r>
    </w:p>
    <w:p>
      <w:pPr>
        <w:pStyle w:val="ListParagraph"/>
        <w:numPr>
          <w:ilvl w:val="0"/>
          <w:numId w:val="2"/>
        </w:numPr>
        <w:spacing w:after="80"/>
      </w:pPr>
      <w:r>
        <w:t xml:space="preserve">Aviso ⚠️: aparece cuando la combinación de tasa y plazo ingresados podría no ser coherente (por ejemplo, una tasa alta combinada con muchos períodos, que suele indicar una confusión entre tasa mensual y anual). Es una señal para revisar los datos, no un error del sistema.</w:t>
      </w:r>
    </w:p>
    <w:p>
      <w:pPr>
        <w:pStyle w:val="ListParagraph"/>
        <w:numPr>
          <w:ilvl w:val="0"/>
          <w:numId w:val="2"/>
        </w:numPr>
        <w:spacing w:after="80"/>
      </w:pPr>
      <w:r>
        <w:t xml:space="preserve">"¿Qué significa esto?": un texto desplegable, en la pestaña de Capital único, que explica en palabras simples la diferencia entre interés simple y compuesto.</w:t>
      </w:r>
    </w:p>
    <w:p>
      <w:pPr>
        <w:pStyle w:val="Heading1"/>
        <w:spacing w:after="160" w:before="300"/>
      </w:pPr>
      <w:r>
        <w:t xml:space="preserve">Errores frecuentes a evitar</w:t>
      </w:r>
    </w:p>
    <w:p>
      <w:pPr>
        <w:pStyle w:val="ListParagraph"/>
        <w:numPr>
          <w:ilvl w:val="0"/>
          <w:numId w:val="2"/>
        </w:numPr>
        <w:spacing w:after="80"/>
      </w:pPr>
      <w:r>
        <w:t xml:space="preserve">Mezclar unidades de tiempo: usar una tasa anual con una cantidad de períodos mensuales (o viceversa) sin convertir antes. La tasa y el período siempre deben estar en la misma unidad.</w:t>
      </w:r>
    </w:p>
    <w:p>
      <w:pPr>
        <w:pStyle w:val="ListParagraph"/>
        <w:numPr>
          <w:ilvl w:val="0"/>
          <w:numId w:val="2"/>
        </w:numPr>
        <w:spacing w:after="80"/>
      </w:pPr>
      <w:r>
        <w:t xml:space="preserve">Confundir TNA con TEA: la TNA no es la tasa que realmente se paga o se cobra en el año; para eso hay que calcular la TEA.</w:t>
      </w:r>
    </w:p>
    <w:p>
      <w:pPr>
        <w:pStyle w:val="ListParagraph"/>
        <w:numPr>
          <w:ilvl w:val="0"/>
          <w:numId w:val="2"/>
        </w:numPr>
        <w:spacing w:after="80"/>
      </w:pPr>
      <w:r>
        <w:t xml:space="preserve">Comparar préstamos solo por el valor de la cuota: como muestra la pestaña de amortización, sistemas distintos reparten el pago de otra manera — hay que mirar el total de intereses, no solo la cuota inicial.</w:t>
      </w:r>
    </w:p>
    <w:p>
      <w:pPr>
        <w:pStyle w:val="Heading1"/>
        <w:spacing w:after="160" w:before="300"/>
      </w:pPr>
      <w:r>
        <w:t xml:space="preserve">Cómo sacarle el máximo provecho</w:t>
      </w:r>
    </w:p>
    <w:p>
      <w:pPr>
        <w:pStyle w:val="ListParagraph"/>
        <w:numPr>
          <w:ilvl w:val="0"/>
          <w:numId w:val="2"/>
        </w:numPr>
        <w:spacing w:after="80"/>
      </w:pPr>
      <w:r>
        <w:t xml:space="preserve">Antes de calcular, tratá de estimar mentalmente si el resultado va a ser mayor o menor al valor ingresado — después comparalo con lo que arroja el simulador.</w:t>
      </w:r>
    </w:p>
    <w:p>
      <w:pPr>
        <w:pStyle w:val="ListParagraph"/>
        <w:numPr>
          <w:ilvl w:val="0"/>
          <w:numId w:val="2"/>
        </w:numPr>
        <w:spacing w:after="80"/>
      </w:pPr>
      <w:r>
        <w:t xml:space="preserve">Usá los ejemplos precargados como punto de partida, y después modificá un solo parámetro a la vez para ver cómo impacta (por ejemplo, subir la tasa 5 puntos, o duplicar el plazo).</w:t>
      </w:r>
    </w:p>
    <w:p>
      <w:pPr>
        <w:pStyle w:val="ListParagraph"/>
        <w:numPr>
          <w:ilvl w:val="0"/>
          <w:numId w:val="2"/>
        </w:numPr>
        <w:spacing w:after="80"/>
      </w:pPr>
      <w:r>
        <w:t xml:space="preserve">Prestá atención a los gráficos: muchas veces la forma de la curva comunica el concepto más rápido que la fórmula.</w:t>
      </w:r>
    </w:p>
    <w:p>
      <w:pPr>
        <w:pStyle w:val="ListParagraph"/>
        <w:numPr>
          <w:ilvl w:val="0"/>
          <w:numId w:val="2"/>
        </w:numPr>
        <w:spacing w:after="80"/>
      </w:pPr>
      <w:r>
        <w:t xml:space="preserve">Si un resultado te sorprende, releé la fórmula aplicada (se muestra siempre debajo de los resultados) antes de asumir que el simulador está mal — casi siempre la sorpresa viene de no haber revisado bien las unidades de tasa y período.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2026-09-14T00:06:34.728Z</dcterms:created>
  <dcterms:modified xsi:type="dcterms:W3CDTF">2026-09-14T00:06:34.740Z</dcterms:modified>
</cp:coreProperties>
</file>

<file path=docProps/custom.xml><?xml version="1.0" encoding="utf-8"?>
<Properties xmlns="http://schemas.openxmlformats.org/officeDocument/2006/custom-properties" xmlns:vt="http://schemas.openxmlformats.org/officeDocument/2006/docPropsVTypes"/>
</file>