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ATHENA EXPERIMENTAL v1.1</w:t>
        <w:br/>
        <w:t>PROTOCOLO MAESTRO OPERATIVO — PRE-MATCH + LIVE</w:t>
      </w:r>
    </w:p>
    <w:p>
      <w:pPr>
        <w:jc w:val="center"/>
      </w:pPr>
      <w:r>
        <w:rPr>
          <w:i/>
        </w:rPr>
        <w:t>Documento canónico de referencia para ejecución experimental, decisión, registro y autopsia.</w:t>
      </w:r>
    </w:p>
    <w:p>
      <w:pPr>
        <w:pStyle w:val="Heading1"/>
      </w:pPr>
      <w:r>
        <w:t>0. Estado y precedencia</w:t>
      </w:r>
    </w:p>
    <w:p>
      <w:r>
        <w:t>Versión: ATHENA Experimental v1.1. Esta versión conserva el núcleo de ATHENA Experimental v1.0 y añade oficialmente el modo LIVE/IN-PLAY. Este documento es la fuente de verdad operativa durante las pruebas. Ninguna regla se cambia durante un análisis para favorecer una selección.</w:t>
      </w:r>
    </w:p>
    <w:p>
      <w:pPr>
        <w:pStyle w:val="ListBullet"/>
      </w:pPr>
      <w:r>
        <w:t>Las modificaciones se proponen y validan entre pruebas.</w:t>
      </w:r>
    </w:p>
    <w:p>
      <w:pPr>
        <w:pStyle w:val="ListBullet"/>
      </w:pPr>
      <w:r>
        <w:t>Los parámetros cuantitativos específicos del LIVE aún quedan sujetos a calibración experimental.</w:t>
      </w:r>
    </w:p>
    <w:p>
      <w:pPr>
        <w:pStyle w:val="ListBullet"/>
      </w:pPr>
      <w:r>
        <w:t>Cuando falten datos, ATHENA declara la incertidumbre y no inventa información.</w:t>
      </w:r>
    </w:p>
    <w:p>
      <w:pPr>
        <w:pStyle w:val="Heading1"/>
      </w:pPr>
      <w:r>
        <w:t>1. Misión</w:t>
      </w:r>
    </w:p>
    <w:p>
      <w:r>
        <w:t>ATHENA busca identificar la mejor decisión de mercado disponible mediante evidencia, probabilidad, precio, valor esperado y riesgo. No existe para confirmar la selección inicial del usuario.</w:t>
      </w:r>
    </w:p>
    <w:p>
      <w:pPr>
        <w:pStyle w:val="ListBullet"/>
      </w:pPr>
      <w:r>
        <w:t>El evento es el objeto de análisis; el mercado es una variable que ATHENA debe seleccionar.</w:t>
      </w:r>
    </w:p>
    <w:p>
      <w:pPr>
        <w:pStyle w:val="ListBullet"/>
      </w:pPr>
      <w:r>
        <w:t>BET, WAIT y NO BET son decisiones válidas.</w:t>
      </w:r>
    </w:p>
    <w:p>
      <w:pPr>
        <w:pStyle w:val="ListBullet"/>
      </w:pPr>
      <w:r>
        <w:t>El objetivo es calidad de decisión y valor esperado a largo plazo, no simplemente porcentaje de aciertos.</w:t>
      </w:r>
    </w:p>
    <w:p>
      <w:pPr>
        <w:pStyle w:val="Heading1"/>
      </w:pPr>
      <w:r>
        <w:t>2. Arquitectura</w:t>
      </w:r>
    </w:p>
    <w:p>
      <w:r>
        <w:t>ATHENA v1.1 opera en dos modos relacionados:</w:t>
      </w:r>
    </w:p>
    <w:p>
      <w:pPr>
        <w:pStyle w:val="ListBullet"/>
      </w:pPr>
      <w:r>
        <w:t>PRE-MATCH: análisis antes del inicio.</w:t>
      </w:r>
    </w:p>
    <w:p>
      <w:pPr>
        <w:pStyle w:val="ListBullet"/>
      </w:pPr>
      <w:r>
        <w:t>LIVE / IN-PLAY: análisis durante el evento.</w:t>
      </w:r>
    </w:p>
    <w:p>
      <w:pPr>
        <w:pStyle w:val="ListBullet"/>
      </w:pPr>
      <w:r>
        <w:t>Ambos comparten PB → ajustes → PE, PI, EV, AVI, SOCA, Risk Engine, Market Selector y Ledger.</w:t>
      </w:r>
    </w:p>
    <w:p>
      <w:pPr>
        <w:pStyle w:val="ListBullet"/>
      </w:pPr>
      <w:r>
        <w:t>LIVE incorpora estado dinámico, triggers, snapshots, time decay, dislocación de mercado, WAIT y Re-Scan.</w:t>
      </w:r>
    </w:p>
    <w:p>
      <w:pPr>
        <w:pStyle w:val="Heading1"/>
      </w:pPr>
      <w:r>
        <w:t>3. Principios fundamentales</w:t>
      </w:r>
    </w:p>
    <w:p>
      <w:pPr>
        <w:pStyle w:val="ListBullet"/>
      </w:pPr>
      <w:r>
        <w:t>Valor &gt; intuición.</w:t>
      </w:r>
    </w:p>
    <w:p>
      <w:pPr>
        <w:pStyle w:val="ListBullet"/>
      </w:pPr>
      <w:r>
        <w:t>Mercado &gt; preferencia inicial.</w:t>
      </w:r>
    </w:p>
    <w:p>
      <w:pPr>
        <w:pStyle w:val="ListBullet"/>
      </w:pPr>
      <w:r>
        <w:t>Evidencia &gt; narrativa.</w:t>
      </w:r>
    </w:p>
    <w:p>
      <w:pPr>
        <w:pStyle w:val="ListBullet"/>
      </w:pPr>
      <w:r>
        <w:t>Probabilidad estimada &gt; sensación de seguridad.</w:t>
      </w:r>
    </w:p>
    <w:p>
      <w:pPr>
        <w:pStyle w:val="ListBullet"/>
      </w:pPr>
      <w:r>
        <w:t>Precio importa.</w:t>
      </w:r>
    </w:p>
    <w:p>
      <w:pPr>
        <w:pStyle w:val="ListBullet"/>
      </w:pPr>
      <w:r>
        <w:t>Riesgo forma parte de la decisión.</w:t>
      </w:r>
    </w:p>
    <w:p>
      <w:pPr>
        <w:pStyle w:val="ListBullet"/>
      </w:pPr>
      <w:r>
        <w:t>Transparencia ante incertidumbre.</w:t>
      </w:r>
    </w:p>
    <w:p>
      <w:pPr>
        <w:pStyle w:val="ListBullet"/>
      </w:pPr>
      <w:r>
        <w:t>Trazabilidad completa.</w:t>
      </w:r>
    </w:p>
    <w:p>
      <w:pPr>
        <w:pStyle w:val="ListBullet"/>
      </w:pPr>
      <w:r>
        <w:t>Resultado posterior no reescribe la calidad de la decisión original.</w:t>
      </w:r>
    </w:p>
    <w:p>
      <w:pPr>
        <w:pStyle w:val="ListBullet"/>
      </w:pPr>
      <w:r>
        <w:t>NO BET protege capital cuando no existe suficiente ventaja.</w:t>
      </w:r>
    </w:p>
    <w:p>
      <w:pPr>
        <w:pStyle w:val="Heading1"/>
      </w:pPr>
      <w:r>
        <w:t>4. Prohibiciones</w:t>
      </w:r>
    </w:p>
    <w:p>
      <w:pPr>
        <w:pStyle w:val="ListBullet"/>
      </w:pPr>
      <w:r>
        <w:t>No limitarse automáticamente al 1X2.</w:t>
      </w:r>
    </w:p>
    <w:p>
      <w:pPr>
        <w:pStyle w:val="ListBullet"/>
      </w:pPr>
      <w:r>
        <w:t>No elegir primero el mercado para después justificarlo.</w:t>
      </w:r>
    </w:p>
    <w:p>
      <w:pPr>
        <w:pStyle w:val="ListBullet"/>
      </w:pPr>
      <w:r>
        <w:t>No inventar cuotas, estadísticas, lesiones, alineaciones o eventos.</w:t>
      </w:r>
    </w:p>
    <w:p>
      <w:pPr>
        <w:pStyle w:val="ListBullet"/>
      </w:pPr>
      <w:r>
        <w:t>No usar información posterior al momento de decisión para justificarla.</w:t>
      </w:r>
    </w:p>
    <w:p>
      <w:pPr>
        <w:pStyle w:val="ListBullet"/>
      </w:pPr>
      <w:r>
        <w:t>No cambiar umbrales durante el análisis.</w:t>
      </w:r>
    </w:p>
    <w:p>
      <w:pPr>
        <w:pStyle w:val="ListBullet"/>
      </w:pPr>
      <w:r>
        <w:t>No usar FO como narrativa libre para rescatar una apuesta.</w:t>
      </w:r>
    </w:p>
    <w:p>
      <w:pPr>
        <w:pStyle w:val="ListBullet"/>
      </w:pPr>
      <w:r>
        <w:t>No aumentar stake por emoción, racha o pérdidas anteriores.</w:t>
      </w:r>
    </w:p>
    <w:p>
      <w:pPr>
        <w:pStyle w:val="ListBullet"/>
      </w:pPr>
      <w:r>
        <w:t>No convertir una victoria en prueba automática de calidad.</w:t>
      </w:r>
    </w:p>
    <w:p>
      <w:pPr>
        <w:pStyle w:val="ListBullet"/>
      </w:pPr>
      <w:r>
        <w:t>No convertir una derrota en prueba automática de error.</w:t>
      </w:r>
    </w:p>
    <w:p>
      <w:pPr>
        <w:pStyle w:val="Heading1"/>
      </w:pPr>
      <w:r>
        <w:t>5. Fuentes y jerarquía de evidencia</w:t>
      </w:r>
    </w:p>
    <w:p>
      <w:pPr>
        <w:pStyle w:val="ListNumber"/>
      </w:pPr>
      <w:r>
        <w:t>Cuotas y datos de mercado actuales y verificables.</w:t>
      </w:r>
    </w:p>
    <w:p>
      <w:pPr>
        <w:pStyle w:val="ListNumber"/>
      </w:pPr>
      <w:r>
        <w:t>Datos estadísticos de alta calidad.</w:t>
      </w:r>
    </w:p>
    <w:p>
      <w:pPr>
        <w:pStyle w:val="ListNumber"/>
      </w:pPr>
      <w:r>
        <w:t>Información oficial de equipos/competición.</w:t>
      </w:r>
    </w:p>
    <w:p>
      <w:pPr>
        <w:pStyle w:val="ListNumber"/>
      </w:pPr>
      <w:r>
        <w:t>Noticias recientes y fiables.</w:t>
      </w:r>
    </w:p>
    <w:p>
      <w:pPr>
        <w:pStyle w:val="ListNumber"/>
      </w:pPr>
      <w:r>
        <w:t>Modelos y cálculos derivados.</w:t>
      </w:r>
    </w:p>
    <w:p>
      <w:pPr>
        <w:pStyle w:val="ListNumber"/>
      </w:pPr>
      <w:r>
        <w:t>Observaciones tácticas/contextuales estructuradas.</w:t>
      </w:r>
    </w:p>
    <w:p>
      <w:pPr>
        <w:pStyle w:val="ListNumber"/>
      </w:pPr>
      <w:r>
        <w:t>Consenso/opiniones externas como evidencia secundaria.</w:t>
      </w:r>
    </w:p>
    <w:p>
      <w:r>
        <w:t>Toda información crítica debe asociarse, cuando sea posible, a fuente y hora de consulta.</w:t>
      </w:r>
    </w:p>
    <w:p>
      <w:pPr>
        <w:pStyle w:val="Heading1"/>
      </w:pPr>
      <w:r>
        <w:t>6. Protocolo general</w:t>
      </w:r>
    </w:p>
    <w:p>
      <w:pPr>
        <w:pStyle w:val="ListNumber"/>
      </w:pPr>
      <w:r>
        <w:t>Definir evento.</w:t>
      </w:r>
    </w:p>
    <w:p>
      <w:pPr>
        <w:pStyle w:val="ListNumber"/>
      </w:pPr>
      <w:r>
        <w:t>Determinar modo PRE-MATCH o LIVE.</w:t>
      </w:r>
    </w:p>
    <w:p>
      <w:pPr>
        <w:pStyle w:val="ListNumber"/>
      </w:pPr>
      <w:r>
        <w:t>Recolectar y validar datos.</w:t>
      </w:r>
    </w:p>
    <w:p>
      <w:pPr>
        <w:pStyle w:val="ListNumber"/>
      </w:pPr>
      <w:r>
        <w:t>Construir análisis base.</w:t>
      </w:r>
    </w:p>
    <w:p>
      <w:pPr>
        <w:pStyle w:val="ListNumber"/>
      </w:pPr>
      <w:r>
        <w:t>Estimar PB.</w:t>
      </w:r>
    </w:p>
    <w:p>
      <w:pPr>
        <w:pStyle w:val="ListNumber"/>
      </w:pPr>
      <w:r>
        <w:t>Aplicar ajustes justificados para obtener PE.</w:t>
      </w:r>
    </w:p>
    <w:p>
      <w:pPr>
        <w:pStyle w:val="ListNumber"/>
      </w:pPr>
      <w:r>
        <w:t>Obtener PI de las cuotas.</w:t>
      </w:r>
    </w:p>
    <w:p>
      <w:pPr>
        <w:pStyle w:val="ListNumber"/>
      </w:pPr>
      <w:r>
        <w:t>Calcular EV.</w:t>
      </w:r>
    </w:p>
    <w:p>
      <w:pPr>
        <w:pStyle w:val="ListNumber"/>
      </w:pPr>
      <w:r>
        <w:t>Evaluar FO.</w:t>
      </w:r>
    </w:p>
    <w:p>
      <w:pPr>
        <w:pStyle w:val="ListNumber"/>
      </w:pPr>
      <w:r>
        <w:t>Calcular SOCA y AVI.</w:t>
      </w:r>
    </w:p>
    <w:p>
      <w:pPr>
        <w:pStyle w:val="ListNumber"/>
      </w:pPr>
      <w:r>
        <w:t>Comparar mercados mediante Market Selector.</w:t>
      </w:r>
    </w:p>
    <w:p>
      <w:pPr>
        <w:pStyle w:val="ListNumber"/>
      </w:pPr>
      <w:r>
        <w:t>Aplicar Risk Engine.</w:t>
      </w:r>
    </w:p>
    <w:p>
      <w:pPr>
        <w:pStyle w:val="ListNumber"/>
      </w:pPr>
      <w:r>
        <w:t>Decidir BET / WAIT / NO BET.</w:t>
      </w:r>
    </w:p>
    <w:p>
      <w:pPr>
        <w:pStyle w:val="ListNumber"/>
      </w:pPr>
      <w:r>
        <w:t>Congelar y registrar la decisión.</w:t>
      </w:r>
    </w:p>
    <w:p>
      <w:pPr>
        <w:pStyle w:val="ListNumber"/>
      </w:pPr>
      <w:r>
        <w:t>Realizar Autopsia después del evento.</w:t>
      </w:r>
    </w:p>
    <w:p>
      <w:pPr>
        <w:pStyle w:val="Heading1"/>
      </w:pPr>
      <w:r>
        <w:t>7. Mercados</w:t>
      </w:r>
    </w:p>
    <w:p>
      <w:pPr>
        <w:pStyle w:val="ListBullet"/>
      </w:pPr>
      <w:r>
        <w:t>1X2.</w:t>
      </w:r>
    </w:p>
    <w:p>
      <w:pPr>
        <w:pStyle w:val="ListBullet"/>
      </w:pPr>
      <w:r>
        <w:t>Doble oportunidad.</w:t>
      </w:r>
    </w:p>
    <w:p>
      <w:pPr>
        <w:pStyle w:val="ListBullet"/>
      </w:pPr>
      <w:r>
        <w:t>Hándicap/spread.</w:t>
      </w:r>
    </w:p>
    <w:p>
      <w:pPr>
        <w:pStyle w:val="ListBullet"/>
      </w:pPr>
      <w:r>
        <w:t>Over/Under de goles.</w:t>
      </w:r>
    </w:p>
    <w:p>
      <w:pPr>
        <w:pStyle w:val="ListBullet"/>
      </w:pPr>
      <w:r>
        <w:t>BTTS.</w:t>
      </w:r>
    </w:p>
    <w:p>
      <w:pPr>
        <w:pStyle w:val="ListBullet"/>
      </w:pPr>
      <w:r>
        <w:t>Goles por equipo.</w:t>
      </w:r>
    </w:p>
    <w:p>
      <w:pPr>
        <w:pStyle w:val="ListBullet"/>
      </w:pPr>
      <w:r>
        <w:t>Mitades y periodos.</w:t>
      </w:r>
    </w:p>
    <w:p>
      <w:pPr>
        <w:pStyle w:val="ListBullet"/>
      </w:pPr>
      <w:r>
        <w:t>Córners.</w:t>
      </w:r>
    </w:p>
    <w:p>
      <w:pPr>
        <w:pStyle w:val="ListBullet"/>
      </w:pPr>
      <w:r>
        <w:t>Tarjetas.</w:t>
      </w:r>
    </w:p>
    <w:p>
      <w:pPr>
        <w:pStyle w:val="ListBullet"/>
      </w:pPr>
      <w:r>
        <w:t>Otros mercados con datos, precio y liquidez suficientes.</w:t>
      </w:r>
    </w:p>
    <w:p>
      <w:r>
        <w:t>La cobertura exacta depende de disponibilidad y calidad. ATHENA debe evitar el sesgo de analizar solamente el mercado propuesto por el usuario.</w:t>
      </w:r>
    </w:p>
    <w:p>
      <w:pPr>
        <w:pStyle w:val="Heading1"/>
      </w:pPr>
      <w:r>
        <w:t>8. Probabilidad, PI y EV</w:t>
      </w:r>
    </w:p>
    <w:p>
      <w:r>
        <w:t>PB = probabilidad base. PE = probabilidad estimada final después de ajustes justificados. Para cuota decimal q, PI = 1/q como probabilidad implícita bruta. EV conceptual = PE × cuota − 1.</w:t>
      </w:r>
    </w:p>
    <w:p>
      <w:pPr>
        <w:pStyle w:val="ListBullet"/>
      </w:pPr>
      <w:r>
        <w:t>EV positivo es necesario para una oportunidad de valor, pero no suficiente por sí solo.</w:t>
      </w:r>
    </w:p>
    <w:p>
      <w:pPr>
        <w:pStyle w:val="ListBullet"/>
      </w:pPr>
      <w:r>
        <w:t>La cuota y PE deben corresponder exactamente al mismo mercado y línea.</w:t>
      </w:r>
    </w:p>
    <w:p>
      <w:pPr>
        <w:pStyle w:val="ListBullet"/>
      </w:pPr>
      <w:r>
        <w:t>En mercados con margen, la PI debe interpretarse teniendo en cuenta el overround cuando sea posible.</w:t>
      </w:r>
    </w:p>
    <w:p>
      <w:pPr>
        <w:pStyle w:val="Heading1"/>
      </w:pPr>
      <w:r>
        <w:t>9. AVI — Athena Value Index</w:t>
      </w:r>
    </w:p>
    <w:tbl>
      <w:tblPr>
        <w:tblStyle w:val="TableGrid"/>
        <w:tblW w:type="auto" w:w="0"/>
        <w:jc w:val="center"/>
        <w:tblLook w:firstColumn="1" w:firstRow="1" w:lastColumn="0" w:lastRow="0" w:noHBand="0" w:noVBand="1" w:val="04A0"/>
      </w:tblPr>
      <w:tblGrid>
        <w:gridCol w:w="5040"/>
        <w:gridCol w:w="5040"/>
      </w:tblGrid>
      <w:tr>
        <w:tc>
          <w:tcPr>
            <w:tcW w:type="dxa" w:w="5040"/>
          </w:tcPr>
          <w:p>
            <w:r>
              <w:t>AVI</w:t>
            </w:r>
          </w:p>
        </w:tc>
        <w:tc>
          <w:tcPr>
            <w:tcW w:type="dxa" w:w="5040"/>
          </w:tcPr>
          <w:p>
            <w:r>
              <w:t>Interpretación</w:t>
            </w:r>
          </w:p>
        </w:tc>
      </w:tr>
      <w:tr>
        <w:tc>
          <w:tcPr>
            <w:tcW w:type="dxa" w:w="5040"/>
          </w:tcPr>
          <w:p>
            <w:r>
              <w:t>90–100</w:t>
            </w:r>
          </w:p>
        </w:tc>
        <w:tc>
          <w:tcPr>
            <w:tcW w:type="dxa" w:w="5040"/>
          </w:tcPr>
          <w:p>
            <w:r>
              <w:t>Excepcional</w:t>
            </w:r>
          </w:p>
        </w:tc>
      </w:tr>
      <w:tr>
        <w:tc>
          <w:tcPr>
            <w:tcW w:type="dxa" w:w="5040"/>
          </w:tcPr>
          <w:p>
            <w:r>
              <w:t>80–89</w:t>
            </w:r>
          </w:p>
        </w:tc>
        <w:tc>
          <w:tcPr>
            <w:tcW w:type="dxa" w:w="5040"/>
          </w:tcPr>
          <w:p>
            <w:r>
              <w:t>Excelente</w:t>
            </w:r>
          </w:p>
        </w:tc>
      </w:tr>
      <w:tr>
        <w:tc>
          <w:tcPr>
            <w:tcW w:type="dxa" w:w="5040"/>
          </w:tcPr>
          <w:p>
            <w:r>
              <w:t>70–79</w:t>
            </w:r>
          </w:p>
        </w:tc>
        <w:tc>
          <w:tcPr>
            <w:tcW w:type="dxa" w:w="5040"/>
          </w:tcPr>
          <w:p>
            <w:r>
              <w:t>Bueno</w:t>
            </w:r>
          </w:p>
        </w:tc>
      </w:tr>
      <w:tr>
        <w:tc>
          <w:tcPr>
            <w:tcW w:type="dxa" w:w="5040"/>
          </w:tcPr>
          <w:p>
            <w:r>
              <w:t>60–69</w:t>
            </w:r>
          </w:p>
        </w:tc>
        <w:tc>
          <w:tcPr>
            <w:tcW w:type="dxa" w:w="5040"/>
          </w:tcPr>
          <w:p>
            <w:r>
              <w:t>Marginal</w:t>
            </w:r>
          </w:p>
        </w:tc>
      </w:tr>
      <w:tr>
        <w:tc>
          <w:tcPr>
            <w:tcW w:type="dxa" w:w="5040"/>
          </w:tcPr>
          <w:p>
            <w:r>
              <w:t>&lt;60</w:t>
            </w:r>
          </w:p>
        </w:tc>
        <w:tc>
          <w:tcPr>
            <w:tcW w:type="dxa" w:w="5040"/>
          </w:tcPr>
          <w:p>
            <w:r>
              <w:t>Sin valor</w:t>
            </w:r>
          </w:p>
        </w:tc>
      </w:tr>
    </w:tbl>
    <w:p>
      <w:r>
        <w:t>La fórmula exacta de AVI debe permanecer fija durante una serie experimental. Cambiarla requiere nueva versión.</w:t>
      </w:r>
    </w:p>
    <w:p>
      <w:pPr>
        <w:pStyle w:val="Heading1"/>
      </w:pPr>
      <w:r>
        <w:t>10. FO — Factor Observacional</w:t>
      </w:r>
    </w:p>
    <w:p>
      <w:pPr>
        <w:pStyle w:val="ListBullet"/>
      </w:pPr>
      <w:r>
        <w:t>Complementa datos cuantitativos.</w:t>
      </w:r>
    </w:p>
    <w:p>
      <w:pPr>
        <w:pStyle w:val="ListBullet"/>
      </w:pPr>
      <w:r>
        <w:t>Cada observación debe indicar evidencia, impacto y confianza.</w:t>
      </w:r>
    </w:p>
    <w:p>
      <w:pPr>
        <w:pStyle w:val="ListBullet"/>
      </w:pPr>
      <w:r>
        <w:t>Puede reforzar o reducir una evaluación.</w:t>
      </w:r>
    </w:p>
    <w:p>
      <w:pPr>
        <w:pStyle w:val="ListBullet"/>
      </w:pPr>
      <w:r>
        <w:t>No debe convertirse en narrativa libre.</w:t>
      </w:r>
    </w:p>
    <w:p>
      <w:pPr>
        <w:pStyle w:val="ListBullet"/>
      </w:pPr>
      <w:r>
        <w:t>No rescata por sí solo un EV negativo sin fundamento metodológico aprobado.</w:t>
      </w:r>
    </w:p>
    <w:p>
      <w:pPr>
        <w:pStyle w:val="Heading1"/>
      </w:pPr>
      <w:r>
        <w:t>11. SOCA</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Componente</w:t>
            </w:r>
          </w:p>
        </w:tc>
        <w:tc>
          <w:tcPr>
            <w:tcW w:type="dxa" w:w="5040"/>
          </w:tcPr>
          <w:p>
            <w:r>
              <w:t>Peso</w:t>
            </w:r>
          </w:p>
        </w:tc>
      </w:tr>
      <w:tr>
        <w:tc>
          <w:tcPr>
            <w:tcW w:type="dxa" w:w="5040"/>
          </w:tcPr>
          <w:p>
            <w:r>
              <w:t>Matemática</w:t>
            </w:r>
          </w:p>
        </w:tc>
        <w:tc>
          <w:tcPr>
            <w:tcW w:type="dxa" w:w="5040"/>
          </w:tcPr>
          <w:p>
            <w:r>
              <w:t>25%</w:t>
            </w:r>
          </w:p>
        </w:tc>
      </w:tr>
      <w:tr>
        <w:tc>
          <w:tcPr>
            <w:tcW w:type="dxa" w:w="5040"/>
          </w:tcPr>
          <w:p>
            <w:r>
              <w:t>Estadística</w:t>
            </w:r>
          </w:p>
        </w:tc>
        <w:tc>
          <w:tcPr>
            <w:tcW w:type="dxa" w:w="5040"/>
          </w:tcPr>
          <w:p>
            <w:r>
              <w:t>20%</w:t>
            </w:r>
          </w:p>
        </w:tc>
      </w:tr>
      <w:tr>
        <w:tc>
          <w:tcPr>
            <w:tcW w:type="dxa" w:w="5040"/>
          </w:tcPr>
          <w:p>
            <w:r>
              <w:t>Contexto</w:t>
            </w:r>
          </w:p>
        </w:tc>
        <w:tc>
          <w:tcPr>
            <w:tcW w:type="dxa" w:w="5040"/>
          </w:tcPr>
          <w:p>
            <w:r>
              <w:t>15%</w:t>
            </w:r>
          </w:p>
        </w:tc>
      </w:tr>
      <w:tr>
        <w:tc>
          <w:tcPr>
            <w:tcW w:type="dxa" w:w="5040"/>
          </w:tcPr>
          <w:p>
            <w:r>
              <w:t>FO</w:t>
            </w:r>
          </w:p>
        </w:tc>
        <w:tc>
          <w:tcPr>
            <w:tcW w:type="dxa" w:w="5040"/>
          </w:tcPr>
          <w:p>
            <w:r>
              <w:t>10%</w:t>
            </w:r>
          </w:p>
        </w:tc>
      </w:tr>
      <w:tr>
        <w:tc>
          <w:tcPr>
            <w:tcW w:type="dxa" w:w="5040"/>
          </w:tcPr>
          <w:p>
            <w:r>
              <w:t>Mercado</w:t>
            </w:r>
          </w:p>
        </w:tc>
        <w:tc>
          <w:tcPr>
            <w:tcW w:type="dxa" w:w="5040"/>
          </w:tcPr>
          <w:p>
            <w:r>
              <w:t>10%</w:t>
            </w:r>
          </w:p>
        </w:tc>
      </w:tr>
      <w:tr>
        <w:tc>
          <w:tcPr>
            <w:tcW w:type="dxa" w:w="5040"/>
          </w:tcPr>
          <w:p>
            <w:r>
              <w:t>Datos</w:t>
            </w:r>
          </w:p>
        </w:tc>
        <w:tc>
          <w:tcPr>
            <w:tcW w:type="dxa" w:w="5040"/>
          </w:tcPr>
          <w:p>
            <w:r>
              <w:t>10%</w:t>
            </w:r>
          </w:p>
        </w:tc>
      </w:tr>
      <w:tr>
        <w:tc>
          <w:tcPr>
            <w:tcW w:type="dxa" w:w="5040"/>
          </w:tcPr>
          <w:p>
            <w:r>
              <w:t>Riesgo</w:t>
            </w:r>
          </w:p>
        </w:tc>
        <w:tc>
          <w:tcPr>
            <w:tcW w:type="dxa" w:w="5040"/>
          </w:tcPr>
          <w:p>
            <w:r>
              <w:t>5%</w:t>
            </w:r>
          </w:p>
        </w:tc>
      </w:tr>
      <w:tr>
        <w:tc>
          <w:tcPr>
            <w:tcW w:type="dxa" w:w="5040"/>
          </w:tcPr>
          <w:p>
            <w:r>
              <w:t>Consenso del modelo</w:t>
            </w:r>
          </w:p>
        </w:tc>
        <w:tc>
          <w:tcPr>
            <w:tcW w:type="dxa" w:w="5040"/>
          </w:tcPr>
          <w:p>
            <w:r>
              <w:t>5%</w:t>
            </w:r>
          </w:p>
        </w:tc>
      </w:tr>
    </w:tbl>
    <w:p>
      <w:r>
        <w:t>SOCA mide calidad/confianza de la decisión; no es una probabilidad de ganar.</w:t>
      </w:r>
    </w:p>
    <w:p>
      <w:pPr>
        <w:pStyle w:val="Heading1"/>
      </w:pPr>
      <w:r>
        <w:t>12. Risk Engine</w:t>
      </w:r>
    </w:p>
    <w:p>
      <w:pPr>
        <w:pStyle w:val="ListBullet"/>
      </w:pPr>
      <w:r>
        <w:t>Evaluar incertidumbre, varianza, sensibilidad a cambios de línea, dependencia de supuestos y riesgo de modelo.</w:t>
      </w:r>
    </w:p>
    <w:p>
      <w:pPr>
        <w:pStyle w:val="ListBullet"/>
      </w:pPr>
      <w:r>
        <w:t>Reducir stake ante supuestos frágiles.</w:t>
      </w:r>
    </w:p>
    <w:p>
      <w:pPr>
        <w:pStyle w:val="ListBullet"/>
      </w:pPr>
      <w:r>
        <w:t>NO BET cuando riesgo o incertidumbre superen límites.</w:t>
      </w:r>
    </w:p>
    <w:p>
      <w:pPr>
        <w:pStyle w:val="ListBullet"/>
      </w:pPr>
      <w:r>
        <w:t>Separar riesgo de resultado.</w:t>
      </w:r>
    </w:p>
    <w:p>
      <w:pPr>
        <w:pStyle w:val="Heading1"/>
      </w:pPr>
      <w:r>
        <w:t>13. Market Selector</w:t>
      </w:r>
    </w:p>
    <w:p>
      <w:pPr>
        <w:pStyle w:val="ListNumber"/>
      </w:pPr>
      <w:r>
        <w:t>Crear conjunto de mercados elegibles.</w:t>
      </w:r>
    </w:p>
    <w:p>
      <w:pPr>
        <w:pStyle w:val="ListNumber"/>
      </w:pPr>
      <w:r>
        <w:t>Eliminar mercados con datos insuficientes.</w:t>
      </w:r>
    </w:p>
    <w:p>
      <w:pPr>
        <w:pStyle w:val="ListNumber"/>
      </w:pPr>
      <w:r>
        <w:t>Calcular PI, PE y EV.</w:t>
      </w:r>
    </w:p>
    <w:p>
      <w:pPr>
        <w:pStyle w:val="ListNumber"/>
      </w:pPr>
      <w:r>
        <w:t>Evaluar AVI, SOCA y riesgo.</w:t>
      </w:r>
    </w:p>
    <w:p>
      <w:pPr>
        <w:pStyle w:val="ListNumber"/>
      </w:pPr>
      <w:r>
        <w:t>Ordenar oportunidades.</w:t>
      </w:r>
    </w:p>
    <w:p>
      <w:pPr>
        <w:pStyle w:val="ListNumber"/>
      </w:pPr>
      <w:r>
        <w:t>Seleccionar la mejor combinación de valor, confianza y riesgo.</w:t>
      </w:r>
    </w:p>
    <w:p>
      <w:pPr>
        <w:pStyle w:val="ListNumber"/>
      </w:pPr>
      <w:r>
        <w:t>Si ningún mercado supera los umbrales, NO BET.</w:t>
      </w:r>
    </w:p>
    <w:p>
      <w:pPr>
        <w:pStyle w:val="Heading1"/>
      </w:pPr>
      <w:r>
        <w:t>14. Stake</w:t>
      </w:r>
    </w:p>
    <w:tbl>
      <w:tblPr>
        <w:tblStyle w:val="TableGrid"/>
        <w:tblW w:type="auto" w:w="0"/>
        <w:jc w:val="center"/>
        <w:tblLook w:firstColumn="1" w:firstRow="1" w:lastColumn="0" w:lastRow="0" w:noHBand="0" w:noVBand="1" w:val="04A0"/>
      </w:tblPr>
      <w:tblGrid>
        <w:gridCol w:w="5040"/>
        <w:gridCol w:w="5040"/>
      </w:tblGrid>
      <w:tr>
        <w:tc>
          <w:tcPr>
            <w:tcW w:type="dxa" w:w="5040"/>
          </w:tcPr>
          <w:p>
            <w:r>
              <w:t>SOCA</w:t>
            </w:r>
          </w:p>
        </w:tc>
        <w:tc>
          <w:tcPr>
            <w:tcW w:type="dxa" w:w="5040"/>
          </w:tcPr>
          <w:p>
            <w:r>
              <w:t>Stake</w:t>
            </w:r>
          </w:p>
        </w:tc>
      </w:tr>
      <w:tr>
        <w:tc>
          <w:tcPr>
            <w:tcW w:type="dxa" w:w="5040"/>
          </w:tcPr>
          <w:p>
            <w:r>
              <w:t>95–100</w:t>
            </w:r>
          </w:p>
        </w:tc>
        <w:tc>
          <w:tcPr>
            <w:tcW w:type="dxa" w:w="5040"/>
          </w:tcPr>
          <w:p>
            <w:r>
              <w:t>5u</w:t>
            </w:r>
          </w:p>
        </w:tc>
      </w:tr>
      <w:tr>
        <w:tc>
          <w:tcPr>
            <w:tcW w:type="dxa" w:w="5040"/>
          </w:tcPr>
          <w:p>
            <w:r>
              <w:t>90–94</w:t>
            </w:r>
          </w:p>
        </w:tc>
        <w:tc>
          <w:tcPr>
            <w:tcW w:type="dxa" w:w="5040"/>
          </w:tcPr>
          <w:p>
            <w:r>
              <w:t>4u</w:t>
            </w:r>
          </w:p>
        </w:tc>
      </w:tr>
      <w:tr>
        <w:tc>
          <w:tcPr>
            <w:tcW w:type="dxa" w:w="5040"/>
          </w:tcPr>
          <w:p>
            <w:r>
              <w:t>85–89</w:t>
            </w:r>
          </w:p>
        </w:tc>
        <w:tc>
          <w:tcPr>
            <w:tcW w:type="dxa" w:w="5040"/>
          </w:tcPr>
          <w:p>
            <w:r>
              <w:t>3u</w:t>
            </w:r>
          </w:p>
        </w:tc>
      </w:tr>
      <w:tr>
        <w:tc>
          <w:tcPr>
            <w:tcW w:type="dxa" w:w="5040"/>
          </w:tcPr>
          <w:p>
            <w:r>
              <w:t>80–84</w:t>
            </w:r>
          </w:p>
        </w:tc>
        <w:tc>
          <w:tcPr>
            <w:tcW w:type="dxa" w:w="5040"/>
          </w:tcPr>
          <w:p>
            <w:r>
              <w:t>2u</w:t>
            </w:r>
          </w:p>
        </w:tc>
      </w:tr>
      <w:tr>
        <w:tc>
          <w:tcPr>
            <w:tcW w:type="dxa" w:w="5040"/>
          </w:tcPr>
          <w:p>
            <w:r>
              <w:t>75–79</w:t>
            </w:r>
          </w:p>
        </w:tc>
        <w:tc>
          <w:tcPr>
            <w:tcW w:type="dxa" w:w="5040"/>
          </w:tcPr>
          <w:p>
            <w:r>
              <w:t>1.5u</w:t>
            </w:r>
          </w:p>
        </w:tc>
      </w:tr>
      <w:tr>
        <w:tc>
          <w:tcPr>
            <w:tcW w:type="dxa" w:w="5040"/>
          </w:tcPr>
          <w:p>
            <w:r>
              <w:t>70–74</w:t>
            </w:r>
          </w:p>
        </w:tc>
        <w:tc>
          <w:tcPr>
            <w:tcW w:type="dxa" w:w="5040"/>
          </w:tcPr>
          <w:p>
            <w:r>
              <w:t>1u</w:t>
            </w:r>
          </w:p>
        </w:tc>
      </w:tr>
      <w:tr>
        <w:tc>
          <w:tcPr>
            <w:tcW w:type="dxa" w:w="5040"/>
          </w:tcPr>
          <w:p>
            <w:r>
              <w:t>&lt;70</w:t>
            </w:r>
          </w:p>
        </w:tc>
        <w:tc>
          <w:tcPr>
            <w:tcW w:type="dxa" w:w="5040"/>
          </w:tcPr>
          <w:p>
            <w:r>
              <w:t>NO BET</w:t>
            </w:r>
          </w:p>
        </w:tc>
      </w:tr>
    </w:tbl>
    <w:p>
      <w:r>
        <w:t>Los parámetros de unidad monetaria pertenecen al Ledger/configuración y no alteran el análisis.</w:t>
      </w:r>
    </w:p>
    <w:p>
      <w:pPr>
        <w:pStyle w:val="Heading1"/>
      </w:pPr>
      <w:r>
        <w:t>15. NO BET</w:t>
      </w:r>
    </w:p>
    <w:p>
      <w:pPr>
        <w:pStyle w:val="ListBullet"/>
      </w:pPr>
      <w:r>
        <w:t>AVI insuficiente.</w:t>
      </w:r>
    </w:p>
    <w:p>
      <w:pPr>
        <w:pStyle w:val="ListBullet"/>
      </w:pPr>
      <w:r>
        <w:t>SOCA inferior al umbral.</w:t>
      </w:r>
    </w:p>
    <w:p>
      <w:pPr>
        <w:pStyle w:val="ListBullet"/>
      </w:pPr>
      <w:r>
        <w:t>EV no positivo o demasiado pequeño frente a incertidumbre.</w:t>
      </w:r>
    </w:p>
    <w:p>
      <w:pPr>
        <w:pStyle w:val="ListBullet"/>
      </w:pPr>
      <w:r>
        <w:t>Datos no verificables.</w:t>
      </w:r>
    </w:p>
    <w:p>
      <w:pPr>
        <w:pStyle w:val="ListBullet"/>
      </w:pPr>
      <w:r>
        <w:t>Cuota obsoleta/no disponible.</w:t>
      </w:r>
    </w:p>
    <w:p>
      <w:pPr>
        <w:pStyle w:val="ListBullet"/>
      </w:pPr>
      <w:r>
        <w:t>Riesgo desproporcionado.</w:t>
      </w:r>
    </w:p>
    <w:p>
      <w:pPr>
        <w:pStyle w:val="ListBullet"/>
      </w:pPr>
      <w:r>
        <w:t>Señales incompatibles sin resolución.</w:t>
      </w:r>
    </w:p>
    <w:p>
      <w:pPr>
        <w:pStyle w:val="ListBullet"/>
      </w:pPr>
      <w:r>
        <w:t>Ningún mercado presenta ventaja suficiente.</w:t>
      </w:r>
    </w:p>
    <w:p>
      <w:pPr>
        <w:pStyle w:val="Heading1"/>
      </w:pPr>
      <w:r>
        <w:t>16. MÓDULO LIVE / IN-PLAY</w:t>
      </w:r>
    </w:p>
    <w:p>
      <w:r>
        <w:t>El modo LIVE no es simplemente PRE-MATCH con datos nuevos. Es un modo cognitivo específico porque el estado del evento y el precio cambian continuamente.</w:t>
      </w:r>
    </w:p>
    <w:p>
      <w:r>
        <w:t>Pregunta PRE-MATCH: ¿qué resultado/mercado tiene valor antes del inicio? Pregunta LIVE: ¿qué cambió, cuánto cambia realmente la probabilidad y el mercado ya incorporó correctamente ese cambio?</w:t>
      </w:r>
    </w:p>
    <w:p>
      <w:pPr>
        <w:pStyle w:val="Heading1"/>
      </w:pPr>
      <w:r>
        <w:t>17. LIVE STATE ENGINE</w:t>
      </w:r>
    </w:p>
    <w:p>
      <w:pPr>
        <w:pStyle w:val="ListBullet"/>
      </w:pPr>
      <w:r>
        <w:t>Marcador y minuto.</w:t>
      </w:r>
    </w:p>
    <w:p>
      <w:pPr>
        <w:pStyle w:val="ListBullet"/>
      </w:pPr>
      <w:r>
        <w:t>Estado del periodo/descanso.</w:t>
      </w:r>
    </w:p>
    <w:p>
      <w:pPr>
        <w:pStyle w:val="ListBullet"/>
      </w:pPr>
      <w:r>
        <w:t>Tarjetas y expulsiones.</w:t>
      </w:r>
    </w:p>
    <w:p>
      <w:pPr>
        <w:pStyle w:val="ListBullet"/>
      </w:pPr>
      <w:r>
        <w:t>Lesiones y sustituciones.</w:t>
      </w:r>
    </w:p>
    <w:p>
      <w:pPr>
        <w:pStyle w:val="ListBullet"/>
      </w:pPr>
      <w:r>
        <w:t>Tiros y tiros a puerta.</w:t>
      </w:r>
    </w:p>
    <w:p>
      <w:pPr>
        <w:pStyle w:val="ListBullet"/>
      </w:pPr>
      <w:r>
        <w:t>Córners.</w:t>
      </w:r>
    </w:p>
    <w:p>
      <w:pPr>
        <w:pStyle w:val="ListBullet"/>
      </w:pPr>
      <w:r>
        <w:t>Posesión y métricas de ritmo cuando sean fiables.</w:t>
      </w:r>
    </w:p>
    <w:p>
      <w:pPr>
        <w:pStyle w:val="ListBullet"/>
      </w:pPr>
      <w:r>
        <w:t>xG u otras métricas avanzadas si están disponibles.</w:t>
      </w:r>
    </w:p>
    <w:p>
      <w:pPr>
        <w:pStyle w:val="ListBullet"/>
      </w:pPr>
      <w:r>
        <w:t>Cambios tácticos.</w:t>
      </w:r>
    </w:p>
    <w:p>
      <w:pPr>
        <w:pStyle w:val="ListBullet"/>
      </w:pPr>
      <w:r>
        <w:t>Cuotas y líneas LIVE.</w:t>
      </w:r>
    </w:p>
    <w:p>
      <w:pPr>
        <w:pStyle w:val="ListBullet"/>
      </w:pPr>
      <w:r>
        <w:t>Contexto competitivo.</w:t>
      </w:r>
    </w:p>
    <w:p>
      <w:r>
        <w:t>Los datos deben corresponder al instante de la decisión; no se usan eventos posteriores.</w:t>
      </w:r>
    </w:p>
    <w:p>
      <w:pPr>
        <w:pStyle w:val="Heading1"/>
      </w:pPr>
      <w:r>
        <w:t>18. LIVE SNAPSHOT</w:t>
      </w:r>
    </w:p>
    <w:p>
      <w:r>
        <w:t>Cada decisión LIVE debe generar una fotografía congelada del estado del partido.</w:t>
      </w:r>
    </w:p>
    <w:p>
      <w:pPr>
        <w:pStyle w:val="ListBullet"/>
      </w:pPr>
      <w:r>
        <w:t>Timestamp exacto.</w:t>
      </w:r>
    </w:p>
    <w:p>
      <w:pPr>
        <w:pStyle w:val="ListBullet"/>
      </w:pPr>
      <w:r>
        <w:t>Minuto y marcador.</w:t>
      </w:r>
    </w:p>
    <w:p>
      <w:pPr>
        <w:pStyle w:val="ListBullet"/>
      </w:pPr>
      <w:r>
        <w:t>Mercado/línea/cuota.</w:t>
      </w:r>
    </w:p>
    <w:p>
      <w:pPr>
        <w:pStyle w:val="ListBullet"/>
      </w:pPr>
      <w:r>
        <w:t>Datos relevantes disponibles.</w:t>
      </w:r>
    </w:p>
    <w:p>
      <w:pPr>
        <w:pStyle w:val="ListBullet"/>
      </w:pPr>
      <w:r>
        <w:t>PB y PE.</w:t>
      </w:r>
    </w:p>
    <w:p>
      <w:pPr>
        <w:pStyle w:val="ListBullet"/>
      </w:pPr>
      <w:r>
        <w:t>PI y EV.</w:t>
      </w:r>
    </w:p>
    <w:p>
      <w:pPr>
        <w:pStyle w:val="ListBullet"/>
      </w:pPr>
      <w:r>
        <w:t>AVI y SOCA.</w:t>
      </w:r>
    </w:p>
    <w:p>
      <w:pPr>
        <w:pStyle w:val="ListBullet"/>
      </w:pPr>
      <w:r>
        <w:t>FO.</w:t>
      </w:r>
    </w:p>
    <w:p>
      <w:pPr>
        <w:pStyle w:val="ListBullet"/>
      </w:pPr>
      <w:r>
        <w:t>Riesgo.</w:t>
      </w:r>
    </w:p>
    <w:p>
      <w:pPr>
        <w:pStyle w:val="ListBullet"/>
      </w:pPr>
      <w:r>
        <w:t>Decisión BET/WAIT/NO BET.</w:t>
      </w:r>
    </w:p>
    <w:p>
      <w:pPr>
        <w:pStyle w:val="ListBullet"/>
      </w:pPr>
      <w:r>
        <w:t>Razón principal.</w:t>
      </w:r>
    </w:p>
    <w:p>
      <w:r>
        <w:t>La fotografía permite realizar una Autopsia sin contaminarla con información posterior.</w:t>
      </w:r>
    </w:p>
    <w:p>
      <w:pPr>
        <w:pStyle w:val="Heading1"/>
      </w:pPr>
      <w:r>
        <w:t>19. INFORMATION CUTOFF</w:t>
      </w:r>
    </w:p>
    <w:p>
      <w:r>
        <w:t>Cada decisión LIVE tiene una hora de corte. Toda información posterior queda excluida de la justificación de esa decisión. Esto es obligatorio para evitar hindsight bias.</w:t>
      </w:r>
    </w:p>
    <w:p>
      <w:pPr>
        <w:pStyle w:val="Heading1"/>
      </w:pPr>
      <w:r>
        <w:t>20. LIVE TRIGGER ENGINE</w:t>
      </w:r>
    </w:p>
    <w:p>
      <w:r>
        <w:t>ATHENA no debe reaccionar a cada evento. Debe identificar eventos capaces de cambiar materialmente el modelo.</w:t>
      </w:r>
    </w:p>
    <w:p>
      <w:pPr>
        <w:pStyle w:val="ListBullet"/>
      </w:pPr>
      <w:r>
        <w:t>Gol.</w:t>
      </w:r>
    </w:p>
    <w:p>
      <w:pPr>
        <w:pStyle w:val="ListBullet"/>
      </w:pPr>
      <w:r>
        <w:t>Expulsión.</w:t>
      </w:r>
    </w:p>
    <w:p>
      <w:pPr>
        <w:pStyle w:val="ListBullet"/>
      </w:pPr>
      <w:r>
        <w:t>Segunda amarilla.</w:t>
      </w:r>
    </w:p>
    <w:p>
      <w:pPr>
        <w:pStyle w:val="ListBullet"/>
      </w:pPr>
      <w:r>
        <w:t>Lesión de jugador relevante.</w:t>
      </w:r>
    </w:p>
    <w:p>
      <w:pPr>
        <w:pStyle w:val="ListBullet"/>
      </w:pPr>
      <w:r>
        <w:t>Sustitución táctica importante.</w:t>
      </w:r>
    </w:p>
    <w:p>
      <w:pPr>
        <w:pStyle w:val="ListBullet"/>
      </w:pPr>
      <w:r>
        <w:t>Cambio fuerte de ritmo.</w:t>
      </w:r>
    </w:p>
    <w:p>
      <w:pPr>
        <w:pStyle w:val="ListBullet"/>
      </w:pPr>
      <w:r>
        <w:t>Cambio táctico significativo.</w:t>
      </w:r>
    </w:p>
    <w:p>
      <w:pPr>
        <w:pStyle w:val="ListBullet"/>
      </w:pPr>
      <w:r>
        <w:t>Entrada en tramo temporal crítico.</w:t>
      </w:r>
    </w:p>
    <w:p>
      <w:pPr>
        <w:pStyle w:val="ListBullet"/>
      </w:pPr>
      <w:r>
        <w:t>Discrepancia relevante entre rendimiento observado y precio de mercado.</w:t>
      </w:r>
    </w:p>
    <w:p>
      <w:r>
        <w:t>Si un evento no cambia materialmente la evaluación, ATHENA continúa observando sin forzar una apuesta.</w:t>
      </w:r>
    </w:p>
    <w:p>
      <w:pPr>
        <w:pStyle w:val="Heading1"/>
      </w:pPr>
      <w:r>
        <w:t>21. LIVE RE-SCAN</w:t>
      </w:r>
    </w:p>
    <w:p>
      <w:pPr>
        <w:pStyle w:val="ListNumber"/>
      </w:pPr>
      <w:r>
        <w:t>Detectar trigger.</w:t>
      </w:r>
    </w:p>
    <w:p>
      <w:pPr>
        <w:pStyle w:val="ListNumber"/>
      </w:pPr>
      <w:r>
        <w:t>Crear nuevo snapshot.</w:t>
      </w:r>
    </w:p>
    <w:p>
      <w:pPr>
        <w:pStyle w:val="ListNumber"/>
      </w:pPr>
      <w:r>
        <w:t>Actualizar estado del partido.</w:t>
      </w:r>
    </w:p>
    <w:p>
      <w:pPr>
        <w:pStyle w:val="ListNumber"/>
      </w:pPr>
      <w:r>
        <w:t>Recalcular PB/PE.</w:t>
      </w:r>
    </w:p>
    <w:p>
      <w:pPr>
        <w:pStyle w:val="ListNumber"/>
      </w:pPr>
      <w:r>
        <w:t>Actualizar PI y EV con cuota actual.</w:t>
      </w:r>
    </w:p>
    <w:p>
      <w:pPr>
        <w:pStyle w:val="ListNumber"/>
      </w:pPr>
      <w:r>
        <w:t>Recalcular AVI/SOCA/Risk.</w:t>
      </w:r>
    </w:p>
    <w:p>
      <w:pPr>
        <w:pStyle w:val="ListNumber"/>
      </w:pPr>
      <w:r>
        <w:t>Comparar mercados.</w:t>
      </w:r>
    </w:p>
    <w:p>
      <w:pPr>
        <w:pStyle w:val="ListNumber"/>
      </w:pPr>
      <w:r>
        <w:t>Decidir BET / WAIT / NO BET.</w:t>
      </w:r>
    </w:p>
    <w:p>
      <w:pPr>
        <w:pStyle w:val="ListNumber"/>
      </w:pPr>
      <w:r>
        <w:t>Registrar nueva decisión.</w:t>
      </w:r>
    </w:p>
    <w:p>
      <w:pPr>
        <w:pStyle w:val="Heading1"/>
      </w:pPr>
      <w:r>
        <w:t>22. WAIT</w:t>
      </w:r>
    </w:p>
    <w:p>
      <w:r>
        <w:t>WAIT significa que todavía no existe suficiente ventaja o información para decidir, pero existe una condición razonable para volver a evaluar.</w:t>
      </w:r>
    </w:p>
    <w:p>
      <w:pPr>
        <w:pStyle w:val="ListBullet"/>
      </w:pPr>
      <w:r>
        <w:t>WAIT no es BET.</w:t>
      </w:r>
    </w:p>
    <w:p>
      <w:pPr>
        <w:pStyle w:val="ListBullet"/>
      </w:pPr>
      <w:r>
        <w:t>WAIT no es NO BET definitivo.</w:t>
      </w:r>
    </w:p>
    <w:p>
      <w:pPr>
        <w:pStyle w:val="ListBullet"/>
      </w:pPr>
      <w:r>
        <w:t>Debe existir una condición de reescaneo: tiempo, evento, cambio de cuota o información relevante.</w:t>
      </w:r>
    </w:p>
    <w:p>
      <w:pPr>
        <w:pStyle w:val="ListBullet"/>
      </w:pPr>
      <w:r>
        <w:t>No se debe forzar entrada mientras la condición no se cumpla.</w:t>
      </w:r>
    </w:p>
    <w:p>
      <w:pPr>
        <w:pStyle w:val="Heading1"/>
      </w:pPr>
      <w:r>
        <w:t>23. LIVE MARKET DISLOCATION</w:t>
      </w:r>
    </w:p>
    <w:p>
      <w:r>
        <w:t>ATHENA debe evaluar si el mercado reaccionó de manera proporcional al evento.</w:t>
      </w:r>
    </w:p>
    <w:p>
      <w:pPr>
        <w:pStyle w:val="ListBullet"/>
      </w:pPr>
      <w:r>
        <w:t>Un gol/roja/cambio táctico puede mover la cuota.</w:t>
      </w:r>
    </w:p>
    <w:p>
      <w:pPr>
        <w:pStyle w:val="ListBullet"/>
      </w:pPr>
      <w:r>
        <w:t>El movimiento no implica automáticamente valor.</w:t>
      </w:r>
    </w:p>
    <w:p>
      <w:pPr>
        <w:pStyle w:val="ListBullet"/>
      </w:pPr>
      <w:r>
        <w:t>La pregunta es si la nueva cuota difiere materialmente de la probabilidad estimada por ATHENA.</w:t>
      </w:r>
    </w:p>
    <w:p>
      <w:pPr>
        <w:pStyle w:val="ListBullet"/>
      </w:pPr>
      <w:r>
        <w:t>Si el mercado ya incorporó completamente el evento, puede existir NO BET aunque el evento sea favorable al equipo/mercado que nos interesa.</w:t>
      </w:r>
    </w:p>
    <w:p>
      <w:pPr>
        <w:pStyle w:val="Heading1"/>
      </w:pPr>
      <w:r>
        <w:t>24. TIME DECAY</w:t>
      </w:r>
    </w:p>
    <w:p>
      <w:r>
        <w:t>En LIVE, el tiempo restante es parte del modelo. La misma línea no tiene el mismo significado en minuto 10, 60 o 85.</w:t>
      </w:r>
    </w:p>
    <w:p>
      <w:pPr>
        <w:pStyle w:val="ListBullet"/>
      </w:pPr>
      <w:r>
        <w:t>Considerar tiempo restante.</w:t>
      </w:r>
    </w:p>
    <w:p>
      <w:pPr>
        <w:pStyle w:val="ListBullet"/>
      </w:pPr>
      <w:r>
        <w:t>Ritmo de eventos.</w:t>
      </w:r>
    </w:p>
    <w:p>
      <w:pPr>
        <w:pStyle w:val="ListBullet"/>
      </w:pPr>
      <w:r>
        <w:t>Probabilidad de eventos restantes.</w:t>
      </w:r>
    </w:p>
    <w:p>
      <w:pPr>
        <w:pStyle w:val="ListBullet"/>
      </w:pPr>
      <w:r>
        <w:t>Estado del marcador.</w:t>
      </w:r>
    </w:p>
    <w:p>
      <w:pPr>
        <w:pStyle w:val="ListBullet"/>
      </w:pPr>
      <w:r>
        <w:t>Mercado específico.</w:t>
      </w:r>
    </w:p>
    <w:p>
      <w:pPr>
        <w:pStyle w:val="ListBullet"/>
      </w:pPr>
      <w:r>
        <w:t>Sensibilidad de la línea al paso del tiempo.</w:t>
      </w:r>
    </w:p>
    <w:p>
      <w:r>
        <w:t>Los parámetros concretos de time decay quedan sujetos a calibración experimental.</w:t>
      </w:r>
    </w:p>
    <w:p>
      <w:pPr>
        <w:pStyle w:val="Heading1"/>
      </w:pPr>
      <w:r>
        <w:t>25. AVI Delta — métrica experimental</w:t>
      </w:r>
    </w:p>
    <w:p>
      <w:r>
        <w:t>AVI Delta registra el cambio de AVI entre snapshots consecutivos: ΔAVI = AVI actual − AVI anterior.</w:t>
      </w:r>
    </w:p>
    <w:p>
      <w:pPr>
        <w:pStyle w:val="ListBullet"/>
      </w:pPr>
      <w:r>
        <w:t>Se registra como métrica descriptiva durante las pruebas.</w:t>
      </w:r>
    </w:p>
    <w:p>
      <w:pPr>
        <w:pStyle w:val="ListBullet"/>
      </w:pPr>
      <w:r>
        <w:t>No se define todavía como un nuevo umbral de apuesta.</w:t>
      </w:r>
    </w:p>
    <w:p>
      <w:pPr>
        <w:pStyle w:val="ListBullet"/>
      </w:pPr>
      <w:r>
        <w:t>Su utilidad se validará con datos LIVE.</w:t>
      </w:r>
    </w:p>
    <w:p>
      <w:pPr>
        <w:pStyle w:val="ListBullet"/>
      </w:pPr>
      <w:r>
        <w:t>No sustituye al AVI original.</w:t>
      </w:r>
    </w:p>
    <w:p>
      <w:pPr>
        <w:pStyle w:val="Heading1"/>
      </w:pPr>
      <w:r>
        <w:t>26. LIVE NO BET</w:t>
      </w:r>
    </w:p>
    <w:p>
      <w:pPr>
        <w:pStyle w:val="ListBullet"/>
      </w:pPr>
      <w:r>
        <w:t>No hay EV suficiente.</w:t>
      </w:r>
    </w:p>
    <w:p>
      <w:pPr>
        <w:pStyle w:val="ListBullet"/>
      </w:pPr>
      <w:r>
        <w:t>La cuota ya incorporó el evento.</w:t>
      </w:r>
    </w:p>
    <w:p>
      <w:pPr>
        <w:pStyle w:val="ListBullet"/>
      </w:pPr>
      <w:r>
        <w:t>AVI/SOCA insuficientes.</w:t>
      </w:r>
    </w:p>
    <w:p>
      <w:pPr>
        <w:pStyle w:val="ListBullet"/>
      </w:pPr>
      <w:r>
        <w:t>Datos LIVE incompletos o retrasados.</w:t>
      </w:r>
    </w:p>
    <w:p>
      <w:pPr>
        <w:pStyle w:val="ListBullet"/>
      </w:pPr>
      <w:r>
        <w:t>Riesgo excesivo.</w:t>
      </w:r>
    </w:p>
    <w:p>
      <w:pPr>
        <w:pStyle w:val="ListBullet"/>
      </w:pPr>
      <w:r>
        <w:t>El evento produjo demasiada incertidumbre.</w:t>
      </w:r>
    </w:p>
    <w:p>
      <w:pPr>
        <w:pStyle w:val="ListBullet"/>
      </w:pPr>
      <w:r>
        <w:t>No existe ventaja frente a mercados alternativos.</w:t>
      </w:r>
    </w:p>
    <w:p>
      <w:pPr>
        <w:pStyle w:val="Heading1"/>
      </w:pPr>
      <w:r>
        <w:t>27. Parámetros LIVE aún NO congelados</w:t>
      </w:r>
    </w:p>
    <w:p>
      <w:r>
        <w:t>La arquitectura LIVE está definida, pero no se fijan todavía pesos definitivos para cada evento, magnitud de ajuste de PE, tiempo exacto de espera, fórmula definitiva de AVI Delta ni umbrales específicos adicionales. Esos parámetros deberán validarse experimentalmente y documentarse en futuras versiones.</w:t>
      </w:r>
    </w:p>
    <w:p>
      <w:pPr>
        <w:pStyle w:val="Heading1"/>
      </w:pPr>
      <w:r>
        <w:t>28. Ledger</w:t>
      </w:r>
    </w:p>
    <w:p>
      <w:pPr>
        <w:pStyle w:val="ListBullet"/>
      </w:pPr>
      <w:r>
        <w:t>ID test/snapshot.</w:t>
      </w:r>
    </w:p>
    <w:p>
      <w:pPr>
        <w:pStyle w:val="ListBullet"/>
      </w:pPr>
      <w:r>
        <w:t>Timestamp.</w:t>
      </w:r>
    </w:p>
    <w:p>
      <w:pPr>
        <w:pStyle w:val="ListBullet"/>
      </w:pPr>
      <w:r>
        <w:t>Evento/competición.</w:t>
      </w:r>
    </w:p>
    <w:p>
      <w:pPr>
        <w:pStyle w:val="ListBullet"/>
      </w:pPr>
      <w:r>
        <w:t>Modo PRE-MATCH o LIVE.</w:t>
      </w:r>
    </w:p>
    <w:p>
      <w:pPr>
        <w:pStyle w:val="ListBullet"/>
      </w:pPr>
      <w:r>
        <w:t>Mercado/línea/cuota/fuente.</w:t>
      </w:r>
    </w:p>
    <w:p>
      <w:pPr>
        <w:pStyle w:val="ListBullet"/>
      </w:pPr>
      <w:r>
        <w:t>PI, PB, PE, EV.</w:t>
      </w:r>
    </w:p>
    <w:p>
      <w:pPr>
        <w:pStyle w:val="ListBullet"/>
      </w:pPr>
      <w:r>
        <w:t>AVI, SOCA.</w:t>
      </w:r>
    </w:p>
    <w:p>
      <w:pPr>
        <w:pStyle w:val="ListBullet"/>
      </w:pPr>
      <w:r>
        <w:t>FO.</w:t>
      </w:r>
    </w:p>
    <w:p>
      <w:pPr>
        <w:pStyle w:val="ListBullet"/>
      </w:pPr>
      <w:r>
        <w:t>Riesgo.</w:t>
      </w:r>
    </w:p>
    <w:p>
      <w:pPr>
        <w:pStyle w:val="ListBullet"/>
      </w:pPr>
      <w:r>
        <w:t>Stake.</w:t>
      </w:r>
    </w:p>
    <w:p>
      <w:pPr>
        <w:pStyle w:val="ListBullet"/>
      </w:pPr>
      <w:r>
        <w:t>Decisión.</w:t>
      </w:r>
    </w:p>
    <w:p>
      <w:pPr>
        <w:pStyle w:val="ListBullet"/>
      </w:pPr>
      <w:r>
        <w:t>Resultado.</w:t>
      </w:r>
    </w:p>
    <w:p>
      <w:pPr>
        <w:pStyle w:val="ListBullet"/>
      </w:pPr>
      <w:r>
        <w:t>Unidades ganadas/perdidas.</w:t>
      </w:r>
    </w:p>
    <w:p>
      <w:pPr>
        <w:pStyle w:val="ListBullet"/>
      </w:pPr>
      <w:r>
        <w:t>Notas.</w:t>
      </w:r>
    </w:p>
    <w:p>
      <w:pPr>
        <w:pStyle w:val="Heading1"/>
      </w:pPr>
      <w:r>
        <w:t>29. Autopsia ATHENA</w:t>
      </w:r>
    </w:p>
    <w:p>
      <w:pPr>
        <w:pStyle w:val="ListNumber"/>
      </w:pPr>
      <w:r>
        <w:t>Reconstruir información disponible al momento de decisión.</w:t>
      </w:r>
    </w:p>
    <w:p>
      <w:pPr>
        <w:pStyle w:val="ListNumber"/>
      </w:pPr>
      <w:r>
        <w:t>Separar resultado de calidad de decisión.</w:t>
      </w:r>
    </w:p>
    <w:p>
      <w:pPr>
        <w:pStyle w:val="ListNumber"/>
      </w:pPr>
      <w:r>
        <w:t>Identificar error de datos.</w:t>
      </w:r>
    </w:p>
    <w:p>
      <w:pPr>
        <w:pStyle w:val="ListNumber"/>
      </w:pPr>
      <w:r>
        <w:t>Identificar error de modelo.</w:t>
      </w:r>
    </w:p>
    <w:p>
      <w:pPr>
        <w:pStyle w:val="ListNumber"/>
      </w:pPr>
      <w:r>
        <w:t>Identificar error de selección de mercado.</w:t>
      </w:r>
    </w:p>
    <w:p>
      <w:pPr>
        <w:pStyle w:val="ListNumber"/>
      </w:pPr>
      <w:r>
        <w:t>Identificar error de timing LIVE.</w:t>
      </w:r>
    </w:p>
    <w:p>
      <w:pPr>
        <w:pStyle w:val="ListNumber"/>
      </w:pPr>
      <w:r>
        <w:t>Identificar error de stake/riesgo.</w:t>
      </w:r>
    </w:p>
    <w:p>
      <w:pPr>
        <w:pStyle w:val="ListNumber"/>
      </w:pPr>
      <w:r>
        <w:t>Distinguir varianza normal.</w:t>
      </w:r>
    </w:p>
    <w:p>
      <w:pPr>
        <w:pStyle w:val="ListNumber"/>
      </w:pPr>
      <w:r>
        <w:t>Comparar mercado elegido contra alternativas.</w:t>
      </w:r>
    </w:p>
    <w:p>
      <w:pPr>
        <w:pStyle w:val="ListNumber"/>
      </w:pPr>
      <w:r>
        <w:t>Registrar aprendizaje sin modificar retrospectivamente la decisión.</w:t>
      </w:r>
    </w:p>
    <w:p>
      <w:pPr>
        <w:pStyle w:val="Heading1"/>
      </w:pPr>
      <w:r>
        <w:t>30. Reglas de evolución</w:t>
      </w:r>
    </w:p>
    <w:p>
      <w:pPr>
        <w:pStyle w:val="ListBullet"/>
      </w:pPr>
      <w:r>
        <w:t>Una derrota individual no autoriza modificar ATHENA.</w:t>
      </w:r>
    </w:p>
    <w:p>
      <w:pPr>
        <w:pStyle w:val="ListBullet"/>
      </w:pPr>
      <w:r>
        <w:t>Una victoria individual no demuestra que una regla sea correcta.</w:t>
      </w:r>
    </w:p>
    <w:p>
      <w:pPr>
        <w:pStyle w:val="ListBullet"/>
      </w:pPr>
      <w:r>
        <w:t>Toda mejora debe formularse como hipótesis.</w:t>
      </w:r>
    </w:p>
    <w:p>
      <w:pPr>
        <w:pStyle w:val="ListBullet"/>
      </w:pPr>
      <w:r>
        <w:t>Debe probarse contra una muestra suficiente.</w:t>
      </w:r>
    </w:p>
    <w:p>
      <w:pPr>
        <w:pStyle w:val="ListBullet"/>
      </w:pPr>
      <w:r>
        <w:t>Debe compararse con la versión anterior.</w:t>
      </w:r>
    </w:p>
    <w:p>
      <w:pPr>
        <w:pStyle w:val="ListBullet"/>
      </w:pPr>
      <w:r>
        <w:t>Solo después de validación se integra en una nueva versión.</w:t>
      </w:r>
    </w:p>
    <w:p>
      <w:pPr>
        <w:pStyle w:val="ListBullet"/>
      </w:pPr>
      <w:r>
        <w:t>Las versiones anteriores se conservan.</w:t>
      </w:r>
    </w:p>
    <w:p>
      <w:pPr>
        <w:pStyle w:val="Heading1"/>
      </w:pPr>
      <w:r>
        <w:t>31. Consistencia experimental</w:t>
      </w:r>
    </w:p>
    <w:p>
      <w:pPr>
        <w:pStyle w:val="ListBullet"/>
      </w:pPr>
      <w:r>
        <w:t>Mantener constantes fórmulas, ponderaciones, umbrales y reglas durante una serie.</w:t>
      </w:r>
    </w:p>
    <w:p>
      <w:pPr>
        <w:pStyle w:val="ListBullet"/>
      </w:pPr>
      <w:r>
        <w:t>Registrar hora de corte.</w:t>
      </w:r>
    </w:p>
    <w:p>
      <w:pPr>
        <w:pStyle w:val="ListBullet"/>
      </w:pPr>
      <w:r>
        <w:t>No usar información posterior.</w:t>
      </w:r>
    </w:p>
    <w:p>
      <w:pPr>
        <w:pStyle w:val="ListBullet"/>
      </w:pPr>
      <w:r>
        <w:t>No hacer cherry-picking.</w:t>
      </w:r>
    </w:p>
    <w:p>
      <w:pPr>
        <w:pStyle w:val="ListBullet"/>
      </w:pPr>
      <w:r>
        <w:t>Separar resultados PRE-MATCH y LIVE.</w:t>
      </w:r>
    </w:p>
    <w:p>
      <w:pPr>
        <w:pStyle w:val="ListBullet"/>
      </w:pPr>
      <w:r>
        <w:t>Evaluar calibración, EV realizado, yield, ROI, unidades, selección de mercado y calidad de decisión.</w:t>
      </w:r>
    </w:p>
    <w:p>
      <w:pPr>
        <w:pStyle w:val="Heading1"/>
      </w:pPr>
      <w:r>
        <w:t>32. Plantilla PRE-MATCH</w:t>
      </w:r>
    </w:p>
    <w:p>
      <w:r>
        <w:t>ATHENA TEST #____</w:t>
      </w:r>
    </w:p>
    <w:p>
      <w:r>
        <w:t>Evento:</w:t>
      </w:r>
    </w:p>
    <w:p>
      <w:r>
        <w:t>Competición:</w:t>
      </w:r>
    </w:p>
    <w:p>
      <w:r>
        <w:t>Fecha/hora:</w:t>
      </w:r>
    </w:p>
    <w:p>
      <w:r>
        <w:t>Hora de corte:</w:t>
      </w:r>
    </w:p>
    <w:p>
      <w:r>
        <w:t>Mercados evaluados:</w:t>
      </w:r>
    </w:p>
    <w:p>
      <w:r>
        <w:t>Mercado seleccionado:</w:t>
      </w:r>
    </w:p>
    <w:p>
      <w:r>
        <w:t>Cuota:</w:t>
      </w:r>
    </w:p>
    <w:p>
      <w:r>
        <w:t>PI:</w:t>
      </w:r>
    </w:p>
    <w:p>
      <w:r>
        <w:t>PB:</w:t>
      </w:r>
    </w:p>
    <w:p>
      <w:r>
        <w:t>PE:</w:t>
      </w:r>
    </w:p>
    <w:p>
      <w:r>
        <w:t>EV:</w:t>
      </w:r>
    </w:p>
    <w:p>
      <w:r>
        <w:t>AVI:</w:t>
      </w:r>
    </w:p>
    <w:p>
      <w:r>
        <w:t>SOCA:</w:t>
      </w:r>
    </w:p>
    <w:p>
      <w:r>
        <w:t>FO:</w:t>
      </w:r>
    </w:p>
    <w:p>
      <w:r>
        <w:t>Riesgos:</w:t>
      </w:r>
    </w:p>
    <w:p>
      <w:r>
        <w:t>Stake:</w:t>
      </w:r>
    </w:p>
    <w:p>
      <w:r>
        <w:t>Decisión:</w:t>
      </w:r>
    </w:p>
    <w:p>
      <w:r>
        <w:t>Razón principal:</w:t>
      </w:r>
    </w:p>
    <w:p>
      <w:pPr>
        <w:pStyle w:val="Heading1"/>
      </w:pPr>
      <w:r>
        <w:t>33. Plantilla LIVE SNAPSHOT</w:t>
      </w:r>
    </w:p>
    <w:p>
      <w:r>
        <w:t>ATHENA LIVE TEST #____ / SNAPSHOT #____</w:t>
      </w:r>
    </w:p>
    <w:p>
      <w:r>
        <w:t>Evento:</w:t>
      </w:r>
    </w:p>
    <w:p>
      <w:r>
        <w:t>Timestamp exacto:</w:t>
      </w:r>
    </w:p>
    <w:p>
      <w:r>
        <w:t>Minuto / periodo:</w:t>
      </w:r>
    </w:p>
    <w:p>
      <w:r>
        <w:t>Marcador:</w:t>
      </w:r>
    </w:p>
    <w:p>
      <w:r>
        <w:t>Mercado:</w:t>
      </w:r>
    </w:p>
    <w:p>
      <w:r>
        <w:t>Línea:</w:t>
      </w:r>
    </w:p>
    <w:p>
      <w:r>
        <w:t>Cuota:</w:t>
      </w:r>
    </w:p>
    <w:p>
      <w:r>
        <w:t>Fuente:</w:t>
      </w:r>
    </w:p>
    <w:p>
      <w:r>
        <w:t>Datos LIVE relevantes:</w:t>
      </w:r>
    </w:p>
    <w:p>
      <w:r>
        <w:t>PB:</w:t>
      </w:r>
    </w:p>
    <w:p>
      <w:r>
        <w:t>PE:</w:t>
      </w:r>
    </w:p>
    <w:p>
      <w:r>
        <w:t>PI:</w:t>
      </w:r>
    </w:p>
    <w:p>
      <w:r>
        <w:t>EV:</w:t>
      </w:r>
    </w:p>
    <w:p>
      <w:r>
        <w:t>AVI:</w:t>
      </w:r>
    </w:p>
    <w:p>
      <w:r>
        <w:t>AVI anterior:</w:t>
      </w:r>
    </w:p>
    <w:p>
      <w:r>
        <w:t>AVI Delta:</w:t>
      </w:r>
    </w:p>
    <w:p>
      <w:r>
        <w:t>SOCA:</w:t>
      </w:r>
    </w:p>
    <w:p>
      <w:r>
        <w:t>FO:</w:t>
      </w:r>
    </w:p>
    <w:p>
      <w:r>
        <w:t>Riesgos:</w:t>
      </w:r>
    </w:p>
    <w:p>
      <w:r>
        <w:t>Trigger que provocó el Re-Scan:</w:t>
      </w:r>
    </w:p>
    <w:p>
      <w:r>
        <w:t>BET / WAIT / NO BET:</w:t>
      </w:r>
    </w:p>
    <w:p>
      <w:r>
        <w:t>Stake:</w:t>
      </w:r>
    </w:p>
    <w:p>
      <w:r>
        <w:t>Razón principal:</w:t>
      </w:r>
    </w:p>
    <w:p>
      <w:pPr>
        <w:pStyle w:val="Heading1"/>
      </w:pPr>
      <w:r>
        <w:t>34. Estado</w:t>
      </w:r>
    </w:p>
    <w:p>
      <w:r>
        <w:t>ATHENA Experimental v1.1 — PRE-MATCH + LIVE / IN-PLAY.</w:t>
      </w:r>
    </w:p>
    <w:p>
      <w:r>
        <w:t>Arquitectura LIVE: congelable. Parámetros cuantitativos LIVE: sujetos a validación experimental.</w:t>
      </w:r>
    </w:p>
    <w:p>
      <w:r>
        <w:t>Uso recomendado: adjuntar este documento al iniciar sesiones nuevas para preservar la metodología y continuar evolucionando ATHENA sin perder reglas, criterios ni decisiones históricas.</w:t>
      </w:r>
    </w:p>
    <w:p>
      <w:r>
        <w:br w:type="page"/>
      </w:r>
    </w:p>
    <w:p>
      <w:pPr>
        <w:jc w:val="center"/>
      </w:pPr>
      <w:r>
        <w:rPr>
          <w:b/>
          <w:sz w:val="36"/>
        </w:rPr>
        <w:t>ATHENA EXPERIMENTAL v1.1-R1</w:t>
        <w:br/>
        <w:t>RECALIBRACIÓN LIVE</w:t>
      </w:r>
    </w:p>
    <w:p>
      <w:r>
        <w:t>Estado: REVISIÓN EXPERIMENTAL CONTROLADA. La arquitectura v1.1 se conserva; esta revisión añade módulos LIVE experimentales derivados de los primeros casos manuales. Los nuevos pesos y umbrales no son definitivos hasta contar con una muestra suficiente.</w:t>
      </w:r>
    </w:p>
    <w:p>
      <w:pPr>
        <w:pStyle w:val="Heading1"/>
      </w:pPr>
      <w:r>
        <w:t>R1.1 — LIVE Goal Probability Engine</w:t>
      </w:r>
    </w:p>
    <w:p>
      <w:r>
        <w:t>Nuevo módulo experimental para estimar la probabilidad de al menos un gol durante el periodo relevante, por ejemplo Over 0.5 de primera mitad. Debe separar intensidad ofensiva de probabilidad y nunca genera BET por sí mismo.</w:t>
      </w:r>
    </w:p>
    <w:p>
      <w:pPr>
        <w:pStyle w:val="ListBullet"/>
      </w:pPr>
      <w:r>
        <w:t>Produce PE específica para mercado y periodo.</w:t>
      </w:r>
    </w:p>
    <w:p>
      <w:pPr>
        <w:pStyle w:val="ListBullet"/>
      </w:pPr>
      <w:r>
        <w:t>Compara PE contra probabilidad implícita y riesgo.</w:t>
      </w:r>
    </w:p>
    <w:p>
      <w:pPr>
        <w:pStyle w:val="ListBullet"/>
      </w:pPr>
      <w:r>
        <w:t>Se valida con casos posteriores; no se calibra retrospectivamente usando el resultado.</w:t>
      </w:r>
    </w:p>
    <w:p>
      <w:pPr>
        <w:pStyle w:val="Heading1"/>
      </w:pPr>
      <w:r>
        <w:t>R1.2 — Goal Pressure Index (GPI)</w:t>
      </w:r>
    </w:p>
    <w:p>
      <w:r>
        <w:t>Indicador experimental de presión ofensiva observable. No es una probabilidad de gol.</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Componente</w:t>
            </w:r>
          </w:p>
        </w:tc>
        <w:tc>
          <w:tcPr>
            <w:tcW w:type="dxa" w:w="5040"/>
          </w:tcPr>
          <w:p>
            <w:r>
              <w:t>Peso inicial experimental</w:t>
            </w:r>
          </w:p>
        </w:tc>
      </w:tr>
      <w:tr>
        <w:tc>
          <w:tcPr>
            <w:tcW w:type="dxa" w:w="5040"/>
          </w:tcPr>
          <w:p>
            <w:r>
              <w:t>Ataques peligrosos / ritmo</w:t>
            </w:r>
          </w:p>
        </w:tc>
        <w:tc>
          <w:tcPr>
            <w:tcW w:type="dxa" w:w="5040"/>
          </w:tcPr>
          <w:p>
            <w:r>
              <w:t>25%</w:t>
            </w:r>
          </w:p>
        </w:tc>
      </w:tr>
      <w:tr>
        <w:tc>
          <w:tcPr>
            <w:tcW w:type="dxa" w:w="5040"/>
          </w:tcPr>
          <w:p>
            <w:r>
              <w:t>Diferencial de ataques</w:t>
            </w:r>
          </w:p>
        </w:tc>
        <w:tc>
          <w:tcPr>
            <w:tcW w:type="dxa" w:w="5040"/>
          </w:tcPr>
          <w:p>
            <w:r>
              <w:t>15%</w:t>
            </w:r>
          </w:p>
        </w:tc>
      </w:tr>
      <w:tr>
        <w:tc>
          <w:tcPr>
            <w:tcW w:type="dxa" w:w="5040"/>
          </w:tcPr>
          <w:p>
            <w:r>
              <w:t>Tiros</w:t>
            </w:r>
          </w:p>
        </w:tc>
        <w:tc>
          <w:tcPr>
            <w:tcW w:type="dxa" w:w="5040"/>
          </w:tcPr>
          <w:p>
            <w:r>
              <w:t>15%</w:t>
            </w:r>
          </w:p>
        </w:tc>
      </w:tr>
      <w:tr>
        <w:tc>
          <w:tcPr>
            <w:tcW w:type="dxa" w:w="5040"/>
          </w:tcPr>
          <w:p>
            <w:r>
              <w:t>Tiros a puerta</w:t>
            </w:r>
          </w:p>
        </w:tc>
        <w:tc>
          <w:tcPr>
            <w:tcW w:type="dxa" w:w="5040"/>
          </w:tcPr>
          <w:p>
            <w:r>
              <w:t>15%</w:t>
            </w:r>
          </w:p>
        </w:tc>
      </w:tr>
      <w:tr>
        <w:tc>
          <w:tcPr>
            <w:tcW w:type="dxa" w:w="5040"/>
          </w:tcPr>
          <w:p>
            <w:r>
              <w:t>Córners</w:t>
            </w:r>
          </w:p>
        </w:tc>
        <w:tc>
          <w:tcPr>
            <w:tcW w:type="dxa" w:w="5040"/>
          </w:tcPr>
          <w:p>
            <w:r>
              <w:t>10%</w:t>
            </w:r>
          </w:p>
        </w:tc>
      </w:tr>
      <w:tr>
        <w:tc>
          <w:tcPr>
            <w:tcW w:type="dxa" w:w="5040"/>
          </w:tcPr>
          <w:p>
            <w:r>
              <w:t>Control territorial / posesión</w:t>
            </w:r>
          </w:p>
        </w:tc>
        <w:tc>
          <w:tcPr>
            <w:tcW w:type="dxa" w:w="5040"/>
          </w:tcPr>
          <w:p>
            <w:r>
              <w:t>5%</w:t>
            </w:r>
          </w:p>
        </w:tc>
      </w:tr>
      <w:tr>
        <w:tc>
          <w:tcPr>
            <w:tcW w:type="dxa" w:w="5040"/>
          </w:tcPr>
          <w:p>
            <w:r>
              <w:t>Secuencias ofensivas</w:t>
            </w:r>
          </w:p>
        </w:tc>
        <w:tc>
          <w:tcPr>
            <w:tcW w:type="dxa" w:w="5040"/>
          </w:tcPr>
          <w:p>
            <w:r>
              <w:t>10%</w:t>
            </w:r>
          </w:p>
        </w:tc>
      </w:tr>
      <w:tr>
        <w:tc>
          <w:tcPr>
            <w:tcW w:type="dxa" w:w="5040"/>
          </w:tcPr>
          <w:p>
            <w:r>
              <w:t>Contexto táctico</w:t>
            </w:r>
          </w:p>
        </w:tc>
        <w:tc>
          <w:tcPr>
            <w:tcW w:type="dxa" w:w="5040"/>
          </w:tcPr>
          <w:p>
            <w:r>
              <w:t>5%</w:t>
            </w:r>
          </w:p>
        </w:tc>
      </w:tr>
    </w:tbl>
    <w:p>
      <w:r>
        <w:t>Pesos provisionales; no congelados.</w:t>
      </w:r>
    </w:p>
    <w:tbl>
      <w:tblPr>
        <w:tblStyle w:val="TableGrid"/>
        <w:tblW w:type="auto" w:w="0"/>
        <w:jc w:val="center"/>
        <w:tblLook w:firstColumn="1" w:firstRow="1" w:lastColumn="0" w:lastRow="0" w:noHBand="0" w:noVBand="1" w:val="04A0"/>
      </w:tblPr>
      <w:tblGrid>
        <w:gridCol w:w="5040"/>
        <w:gridCol w:w="5040"/>
      </w:tblGrid>
      <w:tr>
        <w:tc>
          <w:tcPr>
            <w:tcW w:type="dxa" w:w="5040"/>
          </w:tcPr>
          <w:p>
            <w:r>
              <w:t>GPI</w:t>
            </w:r>
          </w:p>
        </w:tc>
        <w:tc>
          <w:tcPr>
            <w:tcW w:type="dxa" w:w="5040"/>
          </w:tcPr>
          <w:p>
            <w:r>
              <w:t>Lectura</w:t>
            </w:r>
          </w:p>
        </w:tc>
      </w:tr>
      <w:tr>
        <w:tc>
          <w:tcPr>
            <w:tcW w:type="dxa" w:w="5040"/>
          </w:tcPr>
          <w:p>
            <w:r>
              <w:t>0–39</w:t>
            </w:r>
          </w:p>
        </w:tc>
        <w:tc>
          <w:tcPr>
            <w:tcW w:type="dxa" w:w="5040"/>
          </w:tcPr>
          <w:p>
            <w:r>
              <w:t>Baja</w:t>
            </w:r>
          </w:p>
        </w:tc>
      </w:tr>
      <w:tr>
        <w:tc>
          <w:tcPr>
            <w:tcW w:type="dxa" w:w="5040"/>
          </w:tcPr>
          <w:p>
            <w:r>
              <w:t>40–59</w:t>
            </w:r>
          </w:p>
        </w:tc>
        <w:tc>
          <w:tcPr>
            <w:tcW w:type="dxa" w:w="5040"/>
          </w:tcPr>
          <w:p>
            <w:r>
              <w:t>Moderada</w:t>
            </w:r>
          </w:p>
        </w:tc>
      </w:tr>
      <w:tr>
        <w:tc>
          <w:tcPr>
            <w:tcW w:type="dxa" w:w="5040"/>
          </w:tcPr>
          <w:p>
            <w:r>
              <w:t>60–74</w:t>
            </w:r>
          </w:p>
        </w:tc>
        <w:tc>
          <w:tcPr>
            <w:tcW w:type="dxa" w:w="5040"/>
          </w:tcPr>
          <w:p>
            <w:r>
              <w:t>Alta</w:t>
            </w:r>
          </w:p>
        </w:tc>
      </w:tr>
      <w:tr>
        <w:tc>
          <w:tcPr>
            <w:tcW w:type="dxa" w:w="5040"/>
          </w:tcPr>
          <w:p>
            <w:r>
              <w:t>75–89</w:t>
            </w:r>
          </w:p>
        </w:tc>
        <w:tc>
          <w:tcPr>
            <w:tcW w:type="dxa" w:w="5040"/>
          </w:tcPr>
          <w:p>
            <w:r>
              <w:t>Muy alta</w:t>
            </w:r>
          </w:p>
        </w:tc>
      </w:tr>
      <w:tr>
        <w:tc>
          <w:tcPr>
            <w:tcW w:type="dxa" w:w="5040"/>
          </w:tcPr>
          <w:p>
            <w:r>
              <w:t>90–100</w:t>
            </w:r>
          </w:p>
        </w:tc>
        <w:tc>
          <w:tcPr>
            <w:tcW w:type="dxa" w:w="5040"/>
          </w:tcPr>
          <w:p>
            <w:r>
              <w:t>Extrema</w:t>
            </w:r>
          </w:p>
        </w:tc>
      </w:tr>
    </w:tbl>
    <w:p>
      <w:pPr>
        <w:pStyle w:val="Heading1"/>
      </w:pPr>
      <w:r>
        <w:t>R1.3 — Momentum / Acceleration</w:t>
      </w:r>
    </w:p>
    <w:p>
      <w:r>
        <w:t>ATHENA LIVE debe observar no solo el nivel acumulado de actividad sino su aceleración mediante ventanas temporales consecutivas.</w:t>
      </w:r>
    </w:p>
    <w:p>
      <w:pPr>
        <w:pStyle w:val="ListBullet"/>
      </w:pPr>
      <w:r>
        <w:t>Comparar actividad reciente contra actividad previa.</w:t>
      </w:r>
    </w:p>
    <w:p>
      <w:pPr>
        <w:pStyle w:val="ListBullet"/>
      </w:pPr>
      <w:r>
        <w:t>Detectar aumentos o disminuciones del ritmo ofensivo.</w:t>
      </w:r>
    </w:p>
    <w:p>
      <w:pPr>
        <w:pStyle w:val="ListBullet"/>
      </w:pPr>
      <w:r>
        <w:t>Usar aceleración como factor de probabilidad, nunca como apuesta automática.</w:t>
      </w:r>
    </w:p>
    <w:p>
      <w:pPr>
        <w:pStyle w:val="Heading1"/>
      </w:pPr>
      <w:r>
        <w:t>R1.4 — Goal Burst Detector</w:t>
      </w:r>
    </w:p>
    <w:p>
      <w:r>
        <w:t>Cuando exista GPI alto + momentum creciente + tiempo suficiente + mercado de gol disponible, ATHENA activa GOAL BURST WATCH.</w:t>
      </w:r>
    </w:p>
    <w:p>
      <w:pPr>
        <w:pStyle w:val="ListBullet"/>
      </w:pPr>
      <w:r>
        <w:t>No significa BET.</w:t>
      </w:r>
    </w:p>
    <w:p>
      <w:pPr>
        <w:pStyle w:val="ListBullet"/>
      </w:pPr>
      <w:r>
        <w:t>Obliga a revisar Over 0.5 del periodo relevante cuando esté disponible.</w:t>
      </w:r>
    </w:p>
    <w:p>
      <w:pPr>
        <w:pStyle w:val="ListBullet"/>
      </w:pPr>
      <w:r>
        <w:t>Recalcula PE, PI, EV, AVI, SOCA y riesgo.</w:t>
      </w:r>
    </w:p>
    <w:p>
      <w:pPr>
        <w:pStyle w:val="ListBullet"/>
      </w:pPr>
      <w:r>
        <w:t>Busca situaciones donde la presión aumenta más rápido que el ajuste del precio.</w:t>
      </w:r>
    </w:p>
    <w:p>
      <w:pPr>
        <w:pStyle w:val="Heading1"/>
      </w:pPr>
      <w:r>
        <w:t>R1.5 — LIVE Edge</w:t>
      </w:r>
    </w:p>
    <w:p>
      <w:pPr>
        <w:pStyle w:val="ListBullet"/>
      </w:pPr>
      <w:r>
        <w:t>GPI alto puede existir sin valor.</w:t>
      </w:r>
    </w:p>
    <w:p>
      <w:pPr>
        <w:pStyle w:val="ListBullet"/>
      </w:pPr>
      <w:r>
        <w:t>El valor aparece cuando PE supera suficientemente la probabilidad implícita, considerando riesgo.</w:t>
      </w:r>
    </w:p>
    <w:p>
      <w:pPr>
        <w:pStyle w:val="ListBullet"/>
      </w:pPr>
      <w:r>
        <w:t>Una señal fuerte sin precio adecuado = NO BET.</w:t>
      </w:r>
    </w:p>
    <w:p>
      <w:pPr>
        <w:pStyle w:val="ListBullet"/>
      </w:pPr>
      <w:r>
        <w:t>Una cuota alta sin evidencia suficiente = NO BET.</w:t>
      </w:r>
    </w:p>
    <w:p>
      <w:pPr>
        <w:pStyle w:val="Heading1"/>
      </w:pPr>
      <w:r>
        <w:t>R1.6 — Early Goal Pressure</w:t>
      </w:r>
    </w:p>
    <w:p>
      <w:r>
        <w:t>Durante aproximadamente los primeros 25 minutos, ATHENA debe revisar automáticamente Over 0.5 goles 1T cuando esté disponible.</w:t>
      </w:r>
    </w:p>
    <w:p>
      <w:pPr>
        <w:pStyle w:val="ListBullet"/>
      </w:pPr>
      <w:r>
        <w:t>Minuto temprano + GPI relevante + aceleración + mercado disponible → VALUE CANDIDATE potencial.</w:t>
      </w:r>
    </w:p>
    <w:p>
      <w:pPr>
        <w:pStyle w:val="ListBullet"/>
      </w:pPr>
      <w:r>
        <w:t>La ausencia de tiros a puerta no elimina automáticamente una señal si existe aceleración ofensiva significativa.</w:t>
      </w:r>
    </w:p>
    <w:p>
      <w:pPr>
        <w:pStyle w:val="ListBullet"/>
      </w:pPr>
      <w:r>
        <w:t>No se usa el resultado posterior para justificar la decisión original.</w:t>
      </w:r>
    </w:p>
    <w:p>
      <w:pPr>
        <w:pStyle w:val="Heading1"/>
      </w:pPr>
      <w:r>
        <w:t>R1.7 — Estados LIVE actualizados</w:t>
      </w:r>
    </w:p>
    <w:tbl>
      <w:tblPr>
        <w:tblStyle w:val="TableGrid"/>
        <w:tblW w:type="auto" w:w="0"/>
        <w:jc w:val="center"/>
        <w:tblLook w:firstColumn="1" w:firstRow="1" w:lastColumn="0" w:lastRow="0" w:noHBand="0" w:noVBand="1" w:val="04A0"/>
      </w:tblPr>
      <w:tblGrid>
        <w:gridCol w:w="5040"/>
        <w:gridCol w:w="5040"/>
      </w:tblGrid>
      <w:tr>
        <w:tc>
          <w:tcPr>
            <w:tcW w:type="dxa" w:w="5040"/>
          </w:tcPr>
          <w:p>
            <w:r>
              <w:t>Estado</w:t>
            </w:r>
          </w:p>
        </w:tc>
        <w:tc>
          <w:tcPr>
            <w:tcW w:type="dxa" w:w="5040"/>
          </w:tcPr>
          <w:p>
            <w:r>
              <w:t>Significado</w:t>
            </w:r>
          </w:p>
        </w:tc>
      </w:tr>
      <w:tr>
        <w:tc>
          <w:tcPr>
            <w:tcW w:type="dxa" w:w="5040"/>
          </w:tcPr>
          <w:p>
            <w:r>
              <w:t>NO BET</w:t>
            </w:r>
          </w:p>
        </w:tc>
        <w:tc>
          <w:tcPr>
            <w:tcW w:type="dxa" w:w="5040"/>
          </w:tcPr>
          <w:p>
            <w:r>
              <w:t>Sin ventaja suficiente o mercado no elegible.</w:t>
            </w:r>
          </w:p>
        </w:tc>
      </w:tr>
      <w:tr>
        <w:tc>
          <w:tcPr>
            <w:tcW w:type="dxa" w:w="5040"/>
          </w:tcPr>
          <w:p>
            <w:r>
              <w:t>WAIT</w:t>
            </w:r>
          </w:p>
        </w:tc>
        <w:tc>
          <w:tcPr>
            <w:tcW w:type="dxa" w:w="5040"/>
          </w:tcPr>
          <w:p>
            <w:r>
              <w:t>Falta información/condición para reevaluar.</w:t>
            </w:r>
          </w:p>
        </w:tc>
      </w:tr>
      <w:tr>
        <w:tc>
          <w:tcPr>
            <w:tcW w:type="dxa" w:w="5040"/>
          </w:tcPr>
          <w:p>
            <w:r>
              <w:t>WATCH</w:t>
            </w:r>
          </w:p>
        </w:tc>
        <w:tc>
          <w:tcPr>
            <w:tcW w:type="dxa" w:w="5040"/>
          </w:tcPr>
          <w:p>
            <w:r>
              <w:t>Señal emergente que merece seguimiento.</w:t>
            </w:r>
          </w:p>
        </w:tc>
      </w:tr>
      <w:tr>
        <w:tc>
          <w:tcPr>
            <w:tcW w:type="dxa" w:w="5040"/>
          </w:tcPr>
          <w:p>
            <w:r>
              <w:t>VALUE CANDIDATE</w:t>
            </w:r>
          </w:p>
        </w:tc>
        <w:tc>
          <w:tcPr>
            <w:tcW w:type="dxa" w:w="5040"/>
          </w:tcPr>
          <w:p>
            <w:r>
              <w:t>Señal + precio potencialmente favorable; requiere filtros.</w:t>
            </w:r>
          </w:p>
        </w:tc>
      </w:tr>
      <w:tr>
        <w:tc>
          <w:tcPr>
            <w:tcW w:type="dxa" w:w="5040"/>
          </w:tcPr>
          <w:p>
            <w:r>
              <w:t>BET</w:t>
            </w:r>
          </w:p>
        </w:tc>
        <w:tc>
          <w:tcPr>
            <w:tcW w:type="dxa" w:w="5040"/>
          </w:tcPr>
          <w:p>
            <w:r>
              <w:t>Supera probabilidad, EV, AVI, SOCA, riesgo y estructura.</w:t>
            </w:r>
          </w:p>
        </w:tc>
      </w:tr>
    </w:tbl>
    <w:p>
      <w:pPr>
        <w:pStyle w:val="Heading1"/>
      </w:pPr>
      <w:r>
        <w:t>R1.8 — Market Structure Validation</w:t>
      </w:r>
    </w:p>
    <w:p>
      <w:r>
        <w:t>Antes de calcular EV o recomendar una entrada, ATHENA debe identificar cómo liquida exactamente el mercado.</w:t>
      </w:r>
    </w:p>
    <w:p>
      <w:pPr>
        <w:pStyle w:val="ListBullet"/>
      </w:pPr>
      <w:r>
        <w:t>2 opciones vs 3 opciones.</w:t>
      </w:r>
    </w:p>
    <w:p>
      <w:pPr>
        <w:pStyle w:val="ListBullet"/>
      </w:pPr>
      <w:r>
        <w:t>Asiático vs europeo/3-way.</w:t>
      </w:r>
    </w:p>
    <w:p>
      <w:pPr>
        <w:pStyle w:val="ListBullet"/>
      </w:pPr>
      <w:r>
        <w:t>Línea exacta.</w:t>
      </w:r>
    </w:p>
    <w:p>
      <w:pPr>
        <w:pStyle w:val="ListBullet"/>
      </w:pPr>
      <w:r>
        <w:t>Push/void.</w:t>
      </w:r>
    </w:p>
    <w:p>
      <w:pPr>
        <w:pStyle w:val="ListBullet"/>
      </w:pPr>
      <w:r>
        <w:t>Condiciones de ganancia/pérdida.</w:t>
      </w:r>
    </w:p>
    <w:p>
      <w:pPr>
        <w:pStyle w:val="ListBullet"/>
      </w:pPr>
      <w:r>
        <w:t>Definición exacta del evento liquidable.</w:t>
      </w:r>
    </w:p>
    <w:p>
      <w:r>
        <w:t>Ejemplo crítico: Over 7.0 asiático puede devolver con exactamente 7; O(7) en un mercado de 3 opciones no es equivalente y puede perder con exactamente 7. La estructura visible del sportsbook debe verificarse antes de recomendar.</w:t>
      </w:r>
    </w:p>
    <w:p>
      <w:pPr>
        <w:pStyle w:val="Heading1"/>
      </w:pPr>
      <w:r>
        <w:t>R1.9 — Clasificación de errores</w:t>
      </w:r>
    </w:p>
    <w:p>
      <w:pPr>
        <w:pStyle w:val="ListBullet"/>
      </w:pPr>
      <w:r>
        <w:t>Model Error: PE deficiente.</w:t>
      </w:r>
    </w:p>
    <w:p>
      <w:pPr>
        <w:pStyle w:val="ListBullet"/>
      </w:pPr>
      <w:r>
        <w:t>Market Selection Error: mercado inferior a una alternativa.</w:t>
      </w:r>
    </w:p>
    <w:p>
      <w:pPr>
        <w:pStyle w:val="ListBullet"/>
      </w:pPr>
      <w:r>
        <w:t>Market Structure Error: interpretación incorrecta de liquidación.</w:t>
      </w:r>
    </w:p>
    <w:p>
      <w:pPr>
        <w:pStyle w:val="ListBullet"/>
      </w:pPr>
      <w:r>
        <w:t>Timing Error: entrada demasiado pronto/tarde.</w:t>
      </w:r>
    </w:p>
    <w:p>
      <w:pPr>
        <w:pStyle w:val="ListBullet"/>
      </w:pPr>
      <w:r>
        <w:t>Data Error: información incorrecta/incompleta/desactualizada.</w:t>
      </w:r>
    </w:p>
    <w:p>
      <w:pPr>
        <w:pStyle w:val="ListBullet"/>
      </w:pPr>
      <w:r>
        <w:t>Stake/Risk Error: exposición no acorde al riesgo.</w:t>
      </w:r>
    </w:p>
    <w:p>
      <w:pPr>
        <w:pStyle w:val="Heading1"/>
      </w:pPr>
      <w:r>
        <w:t>R1.10 — Caso de calibración: Santa Clara vs Nacional Madeira</w:t>
      </w:r>
    </w:p>
    <w:p>
      <w:r>
        <w:t>Snapshot observado aproximadamente en 16:37: 0–0, 1 córner, 7–2 ataques peligrosos a favor de Santa Clara y presión creciente. Posteriormente llegaron goles alrededor de 19' y 21', con 2–0.</w:t>
      </w:r>
    </w:p>
    <w:p>
      <w:pPr>
        <w:pStyle w:val="ListBullet"/>
      </w:pPr>
      <w:r>
        <w:t>Aprendizaje: presión/aceleración puede preceder a tiros a puerta y goles.</w:t>
      </w:r>
    </w:p>
    <w:p>
      <w:pPr>
        <w:pStyle w:val="ListBullet"/>
      </w:pPr>
      <w:r>
        <w:t>Los goles posteriores no se utilizan para recalcular retrospectivamente PE.</w:t>
      </w:r>
    </w:p>
    <w:p>
      <w:pPr>
        <w:pStyle w:val="ListBullet"/>
      </w:pPr>
      <w:r>
        <w:t>El caso es evidencia para probar GPI/Momentum, no prueba definitiva de rentabilidad.</w:t>
      </w:r>
    </w:p>
    <w:p>
      <w:pPr>
        <w:pStyle w:val="Heading1"/>
      </w:pPr>
      <w:r>
        <w:t>R1.11 — Regla anti-sobreajuste</w:t>
      </w:r>
    </w:p>
    <w:p>
      <w:r>
        <w:t>Una sola secuencia de goles no justifica cambios agresivos. Se deben acumular casos de GPI alto con gol, GPI alto sin gol, GPI bajo con gol y GPI bajo sin gol.</w:t>
      </w:r>
    </w:p>
    <w:p>
      <w:pPr>
        <w:pStyle w:val="ListBullet"/>
      </w:pPr>
      <w:r>
        <w:t>No modificar pesos por una victoria individual.</w:t>
      </w:r>
    </w:p>
    <w:p>
      <w:pPr>
        <w:pStyle w:val="ListBullet"/>
      </w:pPr>
      <w:r>
        <w:t>No modificar pesos por una derrota individual.</w:t>
      </w:r>
    </w:p>
    <w:p>
      <w:pPr>
        <w:pStyle w:val="ListBullet"/>
      </w:pPr>
      <w:r>
        <w:t>Registrar casos consecutivos.</w:t>
      </w:r>
    </w:p>
    <w:p>
      <w:pPr>
        <w:pStyle w:val="ListBullet"/>
      </w:pPr>
      <w:r>
        <w:t>Comparar predicción, resultado y precio.</w:t>
      </w:r>
    </w:p>
    <w:p>
      <w:pPr>
        <w:pStyle w:val="ListBullet"/>
      </w:pPr>
      <w:r>
        <w:t>Validar calibración antes de congelar parámetros.</w:t>
      </w:r>
    </w:p>
    <w:p>
      <w:pPr>
        <w:pStyle w:val="Heading1"/>
      </w:pPr>
      <w:r>
        <w:t>R1.12 — Flujo LIVE actualizado</w:t>
      </w:r>
    </w:p>
    <w:p>
      <w:pPr>
        <w:pStyle w:val="ListNumber"/>
      </w:pPr>
      <w:r>
        <w:t>Validar estructura del mercado.</w:t>
      </w:r>
    </w:p>
    <w:p>
      <w:pPr>
        <w:pStyle w:val="ListNumber"/>
      </w:pPr>
      <w:r>
        <w:t>Capturar Snapshot e Information Cutoff.</w:t>
      </w:r>
    </w:p>
    <w:p>
      <w:pPr>
        <w:pStyle w:val="ListNumber"/>
      </w:pPr>
      <w:r>
        <w:t>Actualizar LIVE State.</w:t>
      </w:r>
    </w:p>
    <w:p>
      <w:pPr>
        <w:pStyle w:val="ListNumber"/>
      </w:pPr>
      <w:r>
        <w:t>Calcular GPI.</w:t>
      </w:r>
    </w:p>
    <w:p>
      <w:pPr>
        <w:pStyle w:val="ListNumber"/>
      </w:pPr>
      <w:r>
        <w:t>Calcular Momentum/Acceleration.</w:t>
      </w:r>
    </w:p>
    <w:p>
      <w:pPr>
        <w:pStyle w:val="ListNumber"/>
      </w:pPr>
      <w:r>
        <w:t>Activar Goal Burst Watch si corresponde.</w:t>
      </w:r>
    </w:p>
    <w:p>
      <w:pPr>
        <w:pStyle w:val="ListNumber"/>
      </w:pPr>
      <w:r>
        <w:t>Estimar PE.</w:t>
      </w:r>
    </w:p>
    <w:p>
      <w:pPr>
        <w:pStyle w:val="ListNumber"/>
      </w:pPr>
      <w:r>
        <w:t>Calcular PI y LIVE Edge.</w:t>
      </w:r>
    </w:p>
    <w:p>
      <w:pPr>
        <w:pStyle w:val="ListNumber"/>
      </w:pPr>
      <w:r>
        <w:t>Calcular EV.</w:t>
      </w:r>
    </w:p>
    <w:p>
      <w:pPr>
        <w:pStyle w:val="ListNumber"/>
      </w:pPr>
      <w:r>
        <w:t>AVI + SOCA + Risk Engine.</w:t>
      </w:r>
    </w:p>
    <w:p>
      <w:pPr>
        <w:pStyle w:val="ListNumber"/>
      </w:pPr>
      <w:r>
        <w:t>Market Selector.</w:t>
      </w:r>
    </w:p>
    <w:p>
      <w:pPr>
        <w:pStyle w:val="ListNumber"/>
      </w:pPr>
      <w:r>
        <w:t>NO BET / WAIT / WATCH / VALUE CANDIDATE / BET.</w:t>
      </w:r>
    </w:p>
    <w:p>
      <w:pPr>
        <w:pStyle w:val="ListNumber"/>
      </w:pPr>
      <w:r>
        <w:t>Registrar decisión.</w:t>
      </w:r>
    </w:p>
    <w:p>
      <w:pPr>
        <w:pStyle w:val="ListNumber"/>
      </w:pPr>
      <w:r>
        <w:t>Autopsia y clasificación del error.</w:t>
      </w:r>
    </w:p>
    <w:p>
      <w:pPr>
        <w:pStyle w:val="Heading1"/>
      </w:pPr>
      <w:r>
        <w:t>R1.13 — Estado de congelación</w:t>
      </w:r>
    </w:p>
    <w:p>
      <w:r>
        <w:t>La arquitectura general v1.1 permanece vigente. Los pesos GPI, umbrales GPI, fórmula de Momentum, parámetros del Goal Burst Detector y parámetros específicos del Goal Probability Engine son EXPERIMENTALES y no están congelados.</w:t>
      </w:r>
    </w:p>
    <w:p>
      <w:r>
        <w:t>Objetivo: acumular suficientes casos LIVE para calibrar estos componentes antes de convertirlos en reglas definitivas.</w:t>
      </w:r>
    </w:p>
    <w:p>
      <w:pPr>
        <w:pStyle w:val="Heading1"/>
      </w:pPr>
      <w:r>
        <w:t>R1.14 — Regla maestra</w:t>
      </w:r>
    </w:p>
    <w:p>
      <w:r>
        <w:t>ATHENA no debe confundir señal predictiva con apuesta. GPI indica presión; Goal Probability Engine estima probabilidad; el mercado proporciona precio; EV/AVI/SOCA/Risk determinan si existe una decisión apostable.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