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7CD35FB7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Einleitung</w:t>
      </w:r>
    </w:p>
    <w:p w14:paraId="540BE1F8" w14:textId="77777777" w:rsidR="002A2662" w:rsidRPr="000E6324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Bedeutung nachhaltiger Antriebe für die Zukunft</w:t>
      </w:r>
    </w:p>
    <w:p w14:paraId="66E8D5E9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Überblick über Wasserstoffantriebe</w:t>
      </w:r>
    </w:p>
    <w:p w14:paraId="0D633E4A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Relevanz für die deutsche Automobilindustrie</w:t>
      </w:r>
    </w:p>
    <w:p w14:paraId="33594CEA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Technologische Grundlagen von Wasserstoffantrieben</w:t>
      </w:r>
    </w:p>
    <w:p w14:paraId="03E8710C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Funktionsweise von Brennstoffzellen</w:t>
      </w:r>
    </w:p>
    <w:p w14:paraId="07458A24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Vergleich mit batterieelektrischen Antrieben</w:t>
      </w:r>
    </w:p>
    <w:p w14:paraId="11D14413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2A2662">
        <w:rPr>
          <w:rFonts w:ascii="Times New Roman" w:eastAsia="Times New Roman" w:hAnsi="Times New Roman" w:cs="Times New Roman"/>
          <w:lang w:val="de-DE" w:eastAsia="bg-BG"/>
        </w:rPr>
        <w:t>Aktueller Stand der Forschung und Entwicklung</w:t>
      </w:r>
    </w:p>
    <w:p w14:paraId="242D3AD6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Vorteile von Wasserstoffantrieben</w:t>
      </w:r>
    </w:p>
    <w:p w14:paraId="7636E47A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Umweltfreundlichkeit und CO₂-Neutralität</w:t>
      </w:r>
    </w:p>
    <w:p w14:paraId="32E81A20" w14:textId="77777777" w:rsidR="002A2662" w:rsidRPr="000E6324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Schnellere Betankung im Vergleich zu E-Autos</w:t>
      </w:r>
    </w:p>
    <w:p w14:paraId="0D3F1691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Höhere Reichweite, insbesondere für Nutzfahrzeuge</w:t>
      </w:r>
    </w:p>
    <w:p w14:paraId="48518374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Herausforderungen und Kritikpunkte</w:t>
      </w:r>
    </w:p>
    <w:p w14:paraId="7A2CDD9E" w14:textId="77777777" w:rsidR="002A2662" w:rsidRPr="000E6324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Hohe Kosten für Produktion und Infrastruktur</w:t>
      </w:r>
    </w:p>
    <w:p w14:paraId="263EE67E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Energieaufwand bei der Wasserstoffherstellung</w:t>
      </w:r>
    </w:p>
    <w:p w14:paraId="561D3F6C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Mangelnde Tankstelleninfrastruktur in Deutschland</w:t>
      </w:r>
    </w:p>
    <w:p w14:paraId="3B16EF4C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Zukunftsperspektiven und wirtschaftliche Bedeutung</w:t>
      </w:r>
    </w:p>
    <w:p w14:paraId="79E70103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Strategien der deutschen Automobilindustrie</w:t>
      </w:r>
    </w:p>
    <w:p w14:paraId="2E1EB817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Förderung durch Politik und staatliche Investitionen</w:t>
      </w:r>
    </w:p>
    <w:p w14:paraId="6B8928B0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Potenzial für den internationalen Wettbewerb</w:t>
      </w:r>
    </w:p>
    <w:p w14:paraId="07EADC15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Fazit</w:t>
      </w:r>
    </w:p>
    <w:p w14:paraId="5809B392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Abwägung von Chancen und Herausforderungen</w:t>
      </w:r>
    </w:p>
    <w:p w14:paraId="073ACCBF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Bedeutung für die klimafreundliche Mobilität</w:t>
      </w:r>
    </w:p>
    <w:p w14:paraId="0DA4F377" w14:textId="4CD67392" w:rsidR="00992FA7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>Notwendige Maßnahmen für eine erfolgreiche Umsetzung</w:t>
      </w:r>
    </w:p>
    <w:sectPr w:rsidR="00992FA7" w:rsidRPr="002A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252374"/>
    <w:rsid w:val="002A2662"/>
    <w:rsid w:val="006F171E"/>
    <w:rsid w:val="007A0CD5"/>
    <w:rsid w:val="00992FA7"/>
    <w:rsid w:val="00AB7FC6"/>
    <w:rsid w:val="00C73606"/>
    <w:rsid w:val="00E84E72"/>
    <w:rsid w:val="00E9481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4</cp:revision>
  <dcterms:created xsi:type="dcterms:W3CDTF">2025-02-13T08:02:00Z</dcterms:created>
  <dcterms:modified xsi:type="dcterms:W3CDTF">2025-02-22T11:29:00Z</dcterms:modified>
</cp:coreProperties>
</file>