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From Soil Mechanics to Crop Stress: Screening Regolith Simulants for Plant Suitability from Public Soil Data</w:t>
      </w:r>
    </w:p>
    <w:p>
      <w:pPr>
        <w:jc w:val="center"/>
      </w:pPr>
      <w:r>
        <w:t>Ikon Kim</w:t>
        <w:br/>
        <w:t>High School Student</w:t>
        <w:br/>
        <w:t>St. Mark's School</w:t>
      </w:r>
    </w:p>
    <w:p>
      <w:pPr>
        <w:sectPr>
          <w:pgSz w:w="12240" w:h="15840"/>
          <w:pgMar w:top="1080" w:right="900" w:bottom="1440" w:left="900" w:header="720" w:footer="720" w:gutter="0"/>
          <w:cols w:space="720"/>
          <w:docGrid w:linePitch="360"/>
        </w:sectPr>
      </w:pPr>
    </w:p>
    <w:p>
      <w:pPr>
        <w:jc w:val="both"/>
      </w:pPr>
      <w:r>
        <w:rPr>
          <w:b/>
          <w:i/>
          <w:sz w:val="18"/>
        </w:rPr>
        <w:t>Abstract—</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that flags likely problem soils from data that already exists.</w:t>
      </w:r>
    </w:p>
    <w:p>
      <w:r>
        <w:rPr>
          <w:b/>
          <w:i/>
          <w:sz w:val="18"/>
        </w:rPr>
        <w:t>Index Terms—</w:t>
      </w:r>
      <w:r>
        <w:rPr>
          <w:sz w:val="18"/>
        </w:rPr>
        <w:t>data integration, screening index, regolith simulants, space agriculture, ranking, reproducibility</w:t>
      </w:r>
    </w:p>
    <w:p>
      <w:pPr>
        <w:jc w:val="center"/>
      </w:pPr>
      <w:r>
        <w:rPr>
          <w:b/>
          <w:sz w:val="20"/>
        </w:rPr>
        <w:t>I.  INTRODUCTION</w:t>
      </w:r>
    </w:p>
    <w:p>
      <w:pPr>
        <w:spacing w:after="0"/>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jc w:val="center"/>
      </w:pPr>
      <w:r>
        <w:rPr>
          <w:b/>
          <w:sz w:val="20"/>
        </w:rPr>
        <w:t>II.  RELATED WORK</w:t>
      </w:r>
    </w:p>
    <w:p>
      <w:pPr>
        <w:spacing w:after="0"/>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jc w:val="center"/>
      </w:pPr>
      <w:r>
        <w:rPr>
          <w:b/>
          <w:sz w:val="20"/>
        </w:rPr>
        <w:t>III.  DATA</w:t>
      </w:r>
    </w:p>
    <w:p>
      <w:pPr>
        <w:spacing w:after="0"/>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jc w:val="center"/>
      </w:pPr>
      <w:r>
        <w:rPr>
          <w:b/>
          <w:sz w:val="20"/>
        </w:rPr>
        <w:t>IV.  METHOD</w:t>
      </w:r>
    </w:p>
    <w:p>
      <w:pPr>
        <w:spacing w:after="0"/>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w:t>
      </w:r>
    </w:p>
    <w:p>
      <w:pPr>
        <w:spacing w:after="0"/>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jc w:val="center"/>
      </w:pPr>
      <w:r>
        <w:rPr>
          <w:b/>
          <w:sz w:val="20"/>
        </w:rPr>
        <w:t>V.  RESULTS</w:t>
      </w:r>
    </w:p>
    <w:p>
      <w:pPr>
        <w:spacing w:after="0"/>
        <w:jc w:val="both"/>
      </w:pPr>
      <w:r>
        <w:rPr>
          <w:sz w:val="20"/>
        </w:rPr>
        <w:t>The index runs over the 23 simulants with a measured cohesion. Each gets a score in [0, 1], where 0 is friendliest to plants and 1 is riskiest. The scores are not evenly spread: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jc w:val="both"/>
      </w:pPr>
      <w:r>
        <w:rPr>
          <w:sz w:val="20"/>
        </w:rPr>
        <w:t>To test stability, every cohesion value was jittered by up to 20 percent and the whole index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w:t>
      </w:r>
    </w:p>
    <w:p>
      <w:pPr>
        <w:spacing w:after="0"/>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jc w:val="center"/>
      </w:pPr>
      <w:r>
        <w:rPr>
          <w:b/>
          <w:sz w:val="20"/>
        </w:rPr>
        <w:t>VI.  DISCUSSION</w:t>
      </w:r>
    </w:p>
    <w:p>
      <w:pPr>
        <w:spacing w:after="0"/>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And the plant check covers only two soils. None of these break the screen, but they set a ceiling on how much weight the exact scores can carry. The clearest next step is more pH and CEC values, so the chemistry side does real work across the table rather than on a single row.</w:t>
      </w:r>
    </w:p>
    <w:p>
      <w:pPr>
        <w:jc w:val="center"/>
      </w:pPr>
      <w:r>
        <w:rPr>
          <w:b/>
          <w:sz w:val="20"/>
        </w:rPr>
        <w:t>VII.  CONCLUSION</w:t>
      </w:r>
    </w:p>
    <w:p>
      <w:pPr>
        <w:spacing w:after="0"/>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r>
        <w:rPr>
          <w:b/>
          <w:sz w:val="20"/>
        </w:rPr>
        <w:t>REFERENCES</w:t>
      </w:r>
    </w:p>
    <w:p>
      <w:pPr>
        <w:spacing w:after="0"/>
      </w:pPr>
      <w:r>
        <w:rPr>
          <w:sz w:val="16"/>
        </w:rPr>
        <w:t>[1] R. Russell et al., "Testing CI asteroid regolith simulant as a plant growth medium," Planetary Science Journal, vol. 3, no. 7, art. 155, 2022.</w:t>
      </w:r>
    </w:p>
    <w:p>
      <w:pPr>
        <w:spacing w:after="0"/>
      </w:pPr>
      <w:r>
        <w:rPr>
          <w:sz w:val="16"/>
        </w:rPr>
        <w:t>[2] L. Gasteiner, N. Murdoch, and A. D'Angelo, "An open database of lunar regolith and simulant mechanical properties," arXiv:2602.03829, 2026.</w:t>
      </w:r>
    </w:p>
    <w:p>
      <w:pPr>
        <w:spacing w:after="0"/>
      </w:pPr>
      <w:r>
        <w:rPr>
          <w:sz w:val="16"/>
        </w:rPr>
        <w:t>[3] PlanetGSD 1.0: a global grain-size database for planetary surfaces, Earth System Science Data,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of regolith simulants as agricultural substrates," Frontiers in Astronomy and Space Sciences, vol. 8, art. 747821, 2022.</w:t>
      </w:r>
    </w:p>
    <w:p>
      <w:pPr>
        <w:spacing w:after="0"/>
      </w:pPr>
      <w:r>
        <w:rPr>
          <w:sz w:val="16"/>
        </w:rPr>
        <w:t>[7] J. Dotson et al., "Cohesion and bulk density relationships for compacted regolith,"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