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r>
    </w:p>
    <w:p>
      <w:pPr>
        <w:sectPr>
          <w:pgSz w:w="12240" w:h="15840"/>
          <w:pgMar w:top="1080" w:right="900" w:bottom="1440" w:left="90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whole index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r>
        <w:rPr>
          <w:b/>
          <w:sz w:val="20"/>
        </w:rPr>
        <w:t>REFERENCES</w:t>
      </w:r>
    </w:p>
    <w:p>
      <w:pPr>
        <w:spacing w:after="0"/>
      </w:pPr>
      <w:r>
        <w:rPr>
          <w:sz w:val="16"/>
        </w:rPr>
        <w:t>[1] R. Russell et al., "Testing CI asteroid regolith simulant as a plant growth medium," Planetary Science Journal, vol. 3, no. 7, art. 155, 2022.</w:t>
      </w:r>
    </w:p>
    <w:p>
      <w:pPr>
        <w:spacing w:after="0"/>
      </w:pPr>
      <w:r>
        <w:rPr>
          <w:sz w:val="16"/>
        </w:rPr>
        <w:t>[2] L. Gasteiner, N. Murdoch, and A. D'Angelo, "An open database of lunar regolith and simulant mechanical properties," arXiv:2602.03829, 2026.</w:t>
      </w:r>
    </w:p>
    <w:p>
      <w:pPr>
        <w:spacing w:after="0"/>
      </w:pPr>
      <w:r>
        <w:rPr>
          <w:sz w:val="16"/>
        </w:rPr>
        <w:t>[3] PlanetGSD 1.0: a global grain-size database for planetary surfaces, Earth System Science Data,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of regolith simulants as agricultural substrates," Frontiers in Astronomy and Space Sciences, vol. 8, art. 747821, 2022.</w:t>
      </w:r>
    </w:p>
    <w:p>
      <w:pPr>
        <w:spacing w:after="0"/>
      </w:pPr>
      <w:r>
        <w:rPr>
          <w:sz w:val="16"/>
        </w:rPr>
        <w:t>[7] J. Dotson et al., "Cohesion and bulk density relationships for compacted regolith,"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