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spacing w:after="0"/>
        <w:ind w:firstLine="288"/>
        <w:jc w:val="both"/>
      </w:pPr>
      <w:r>
        <w:rPr>
          <w:sz w:val="20"/>
        </w:rPr>
        <w:t>The index runs over the 23 simulants with a measured cohesion, listed in Table I. Each gets a score in [0, 1], where 0 is friendliest to plants and 1 is riskiest. The scores are not evenly spread: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