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КОММЕРЧЕСКОЕ ПРЕДЛОЖЕНИЕ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Корпоративная медицинская школа</w:t>
        <w:br w:type="textWrapping"/>
        <w:t xml:space="preserve">для B. Braun Medical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Экспертное образовательное мероприятие на площадке Новосибирского государственного университета (предлагаемый формат)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Инициатор концепции и организационная модель: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Институт медицины и медицинских технологий Новосибирского Государственного Университета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0"/>
        </w:rPr>
        <w:br w:type="textWrapping"/>
        <w:t xml:space="preserve">Заказчик: ООО «Б. Браун Медикал» (предложение к рассмотрению)</w:t>
        <w:br w:type="textWrapping"/>
        <w:t xml:space="preserve">Дата: 12 октября 2026 года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eaf3" w:val="clear"/>
          </w:tcPr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3" w:val="clear"/>
          </w:tcPr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Участники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3" w:val="clear"/>
          </w:tcPr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3" w:val="clear"/>
          </w:tcPr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Очное мероприятие + цифровой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40 врачей акушеров-гинекологов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4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СТАТУС: концепция для согласования. Проведение на площадке НГУ, состав спикеров, тема, права на материалы и условия участия сторон не подтверждены и подлежат отдельному письменному согласованию.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Цель и ценность для B. Braun</w:t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Создать экспертную образовательную программу для профессиональной врачебной аудитории региона, объединяющую научно обоснованную клиническую повестку, практико-ориентированное обучение и комплект материалов длительного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Потенциальные результаты: 40 участников целевой аудитории; экспертная очная сессия; материалы для последующего изучения; согласованные короткие видеозаписи; отчёт о проведении и оценке образовательного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Предлагаемая программа</w:t>
      </w:r>
    </w:p>
    <w:tbl>
      <w:tblPr>
        <w:tblStyle w:val="Table2"/>
        <w:tblW w:w="9687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229"/>
        <w:gridCol w:w="3229"/>
        <w:gridCol w:w="3229"/>
        <w:tblGridChange w:id="0">
          <w:tblGrid>
            <w:gridCol w:w="3229"/>
            <w:gridCol w:w="3229"/>
            <w:gridCol w:w="3229"/>
          </w:tblGrid>
        </w:tblGridChange>
      </w:tblGrid>
      <w:tr>
        <w:trPr>
          <w:cantSplit w:val="0"/>
          <w:tblHeader w:val="0"/>
        </w:trPr>
        <w:tc>
          <w:tcPr>
            <w:shd w:fill="d9eaf3" w:val="clear"/>
          </w:tcPr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3" w:val="clear"/>
          </w:tcPr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3" w:val="clear"/>
          </w:tcPr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Открытие и постановка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Знакомство, клинические вопросы, образовательные цели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Экспертный доклад 1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Пасман Наталья Михайловна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— заслуженный врач РФ, доктор медицинских наук, профессор и основательница ведущей многопрофильной клиники репродуктивного здоровья в Новосибирске.</w:t>
            </w:r>
          </w:p>
          <w:p w:rsidR="00000000" w:rsidDel="00000000" w:rsidP="00000000" w:rsidRDefault="00000000" w:rsidRPr="00000000" w14:paraId="0000001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Актуальная клиническая проблема в акушерстве и гинекологии; обзор доказательств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Экспертный доклад 2 Ирина Геннадьевна Сергеева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дерматовенеролог, онкодерматолог и детский дерматолог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. Она является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доктором медицинских наук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и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профессором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кафедры фундаментальной медицины, а также директором Центра постдипломного медицинского образования Института медицины и психологии В. Зельмана НГУ)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Интимная дерматология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Экспертный доклад 3 Штофин Сергей Григорьевич (хирург)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Клинические случаи и междисциплинарные вопросы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Дискуссия и вопросы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35–50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Разбор практических ситуаций, итоговые выводы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Оценка и завершение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Обратная связь, анкета, завершение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Результаты проекта и комплект поставки</w:t>
      </w:r>
    </w:p>
    <w:tbl>
      <w:tblPr>
        <w:tblStyle w:val="Table3"/>
        <w:tblW w:w="9688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af3" w:val="clear"/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3" w:val="clear"/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Состав / критерий приёмки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Очная медицинская школа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Один образовательный день 4 часа; организационное сопровождение до 40 слушателей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Методическое пособие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24–32 страницы: цели, клиническая проблематика, алгоритмы, ссылки на проверяемые источники; электронный макет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Презентации экспертов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Единый структурированный комплект слайдов, прошедший научную и редакционную проверку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Видеоматериалы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коротких профессионально смонтированных фрагментов при согласии спикеров и участников; применение в пределах лицензии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Регистрация и фактическое участие (при законном основании), анкета оценки качества, итоговый отчёт, скрининг остаточных знаний по продукции Пронтосан и Браунодин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Организация и ответственность</w:t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НГУ / уполномоченное подразделение (при заключении соответствующих договорённостей): предоставление площадки, согласование образовательного статуса, возможное участие экспертов и инфраструктуры в объёме отдельных соглашений</w:t>
      </w:r>
      <w:r w:rsidDel="00000000" w:rsidR="00000000" w:rsidRPr="00000000">
        <w:rPr>
          <w:color w:val="000000"/>
          <w:rtl w:val="0"/>
        </w:rPr>
        <w:t xml:space="preserve"> проектное управление, координация с площадкой и экспертами, подготовка и верстка методических материалов, техническое сопровождение, видеопроизводство, отчётность.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B. Braun Medical (заказчик): согласование тематики, медицинского комплаенса, бюджета, допустимых материалов, целевой аудитории и процесса закупки. Содержательная независимость экспертных выступлений сохраняется.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Коммерческие условия</w:t>
      </w:r>
    </w:p>
    <w:tbl>
      <w:tblPr>
        <w:tblStyle w:val="Table4"/>
        <w:tblW w:w="9688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af3" w:val="clear"/>
          </w:tcPr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3" w:val="clear"/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Полный образовательный проект: подготовка, эксперты*, организация, методическое пособие, презентации, 4–6 видеофрагментов,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Дополнительные тиражи печатных материалов, поездки иногородних экспертов, внешние аккредитации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По отдельной смете при необходимости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* Участие экспертов и бюджет гонораров согласуются в рамках проекта; окончательная конфигурация услуг и налоговый режим определяются договором и коммерческой спецификацией. Указанная стоимость — предварительная цена комплексного проекта, не оферта.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020" w:top="1077" w:left="1276" w:right="12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304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3041"/>
        <w:sz w:val="20"/>
        <w:szCs w:val="20"/>
        <w:u w:val="none"/>
        <w:shd w:fill="auto" w:val="clear"/>
        <w:vertAlign w:val="baseline"/>
        <w:rtl w:val="0"/>
      </w:rPr>
      <w:t xml:space="preserve">Проект коммерческого предложения • 12 октября 2026 г. • Для предварительного обсуждения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  <w:rPr>
        <w:b w:val="1"/>
        <w:bCs w:val="1"/>
        <w:color w:val="4f81bd"/>
        <w:sz w:val="18"/>
        <w:szCs w:val="18"/>
      </w:rPr>
    </w:pPr>
    <w:r w:rsidDel="00000000" w:rsidR="00000000" w:rsidRPr="00000000">
      <w:rPr>
        <w:b w:val="1"/>
        <w:bCs w:val="1"/>
        <w:color w:val="4f81bd"/>
        <w:sz w:val="18"/>
        <w:szCs w:val="18"/>
        <w:rtl w:val="0"/>
      </w:rPr>
      <w:t xml:space="preserve">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  <w:rtl w:val="0"/>
      </w:rPr>
      <w:t xml:space="preserve">КОРПОРАТИВНЫЕ ОБРАЗОВАТЕЛЬНЫЕ ПРОГРАММЫ</w:t>
    </w:r>
    <w:r w:rsidDel="00000000" w:rsidR="00000000" w:rsidRPr="00000000">
      <w:rPr>
        <w:b w:val="1"/>
        <w:bCs w:val="1"/>
        <w:color w:val="4f81bd"/>
        <w:sz w:val="18"/>
        <w:szCs w:val="18"/>
        <w:rtl w:val="0"/>
      </w:rPr>
      <w:t xml:space="preserve"> НГУ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3304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12487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18567b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00" w:line="240" w:lineRule="auto"/>
    </w:pPr>
    <w:rPr>
      <w:rFonts w:ascii="Play" w:cs="Play" w:eastAsia="Play" w:hAnsi="Play"/>
      <w:b w:val="1"/>
      <w:bCs w:val="1"/>
      <w:color w:val="123352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