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публичная-оферта-на-оказание-услуг"/>
    <w:p>
      <w:pPr>
        <w:pStyle w:val="Heading1"/>
      </w:pPr>
      <w:r>
        <w:t xml:space="preserve">Публичная оферта на оказание услуг</w:t>
      </w:r>
    </w:p>
    <w:p>
      <w:pPr>
        <w:pStyle w:val="FirstParagraph"/>
      </w:pPr>
      <w:r>
        <w:t xml:space="preserve">Редакция от 27 октября 2026 года</w:t>
      </w:r>
    </w:p>
    <w:bookmarkStart w:id="21" w:name="Xc4211d805ccb1d1758c2b033f718de644cb7c63"/>
    <w:p>
      <w:pPr>
        <w:pStyle w:val="Heading2"/>
      </w:pPr>
      <w:r>
        <w:t xml:space="preserve">1. Общие положения</w:t>
      </w:r>
    </w:p>
    <w:p>
      <w:pPr>
        <w:pStyle w:val="FirstParagraph"/>
      </w:pPr>
      <w:r>
        <w:t xml:space="preserve">1.1. Индивидуальный предприниматель Коптелин Илья Алексеевич (ИНН 540821689171, ОГРНИП 326547600096728), далее — «Исполнитель», предлагает юридическим лицам и индивидуальным предпринимателям, далее — «Заказчик», заключить договор возмездного оказания услуг на условиях настоящей оферты.</w:t>
      </w:r>
    </w:p>
    <w:p>
      <w:pPr>
        <w:pStyle w:val="BodyText"/>
      </w:pPr>
      <w:r>
        <w:t xml:space="preserve">1.2. В соответствии со статьёй 437 Гражданского кодекса Российской Федерации настоящий документ является публичной офертой. Акцептом оферты является оплата счёта Исполнителя (пункт 3 статьи 438 ГК РФ). С момента акцепта договор считается заключённым на условиях настоящей оферты и согласованного Заказа.</w:t>
      </w:r>
    </w:p>
    <w:p>
      <w:pPr>
        <w:pStyle w:val="BodyText"/>
      </w:pPr>
      <w:r>
        <w:t xml:space="preserve">1.3. Если стороны подписали отдельный договор, применяются условия отдельного договора, а настоящая оферта — в части, им не урегулированной.</w:t>
      </w:r>
    </w:p>
    <w:p>
      <w:pPr>
        <w:pStyle w:val="BodyText"/>
      </w:pPr>
      <w:r>
        <w:t xml:space="preserve">1.4. Официальные каналы связи Исполнителя: электронная почта</w:t>
      </w:r>
      <w:r>
        <w:t xml:space="preserve"> </w:t>
      </w:r>
      <w:hyperlink r:id="rId20">
        <w:r>
          <w:rPr>
            <w:rStyle w:val="Hyperlink"/>
          </w:rPr>
          <w:t xml:space="preserve">i.koptelin@proba-lab.ru</w:t>
        </w:r>
      </w:hyperlink>
      <w:r>
        <w:t xml:space="preserve">, телефон +7 981 100-28-48, сайт Proba Lab. Сообщения, направленные по этим каналам и по адресу электронной почты Заказчика, указанному в Заказе или переписке, считаются направленными надлежащим образом.</w:t>
      </w:r>
    </w:p>
    <w:p>
      <w:pPr>
        <w:pStyle w:val="BodyText"/>
      </w:pPr>
      <w:r>
        <w:t xml:space="preserve">1.5. Термины: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Сайт</w:t>
      </w:r>
      <w:r>
        <w:t xml:space="preserve"> </w:t>
      </w:r>
      <w:r>
        <w:t xml:space="preserve">— сайт Proba Lab, на котором размещена настоящая оферта.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Услуги</w:t>
      </w:r>
      <w:r>
        <w:t xml:space="preserve"> </w:t>
      </w:r>
      <w:r>
        <w:t xml:space="preserve">— консультационные, аналитические, маркетинговые, дизайнерские, информационные услуги и услуги по разработке, перечисленные на Сайте, а также услуги по организации подготовки документов о соответствии продукции, оказываемые с привлечением третьих лиц.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Заказ</w:t>
      </w:r>
      <w:r>
        <w:t xml:space="preserve"> </w:t>
      </w:r>
      <w:r>
        <w:t xml:space="preserve">— согласованные сторонами в письменной форме (в том числе по электронной почте или в мессенджере) состав услуг, результат, стоимость и срок. Счёт, выставленный по Заказу, является его неотъемлемой частью.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Результат</w:t>
      </w:r>
      <w:r>
        <w:t xml:space="preserve"> </w:t>
      </w:r>
      <w:r>
        <w:t xml:space="preserve">— материалы, передаваемые Заказчику: отчёты, тексты, макеты, расчёты, страницы сайта, настроенные системы и иные результаты, указанные в Заказе.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Внешние расходы</w:t>
      </w:r>
      <w:r>
        <w:t xml:space="preserve"> </w:t>
      </w:r>
      <w:r>
        <w:t xml:space="preserve">— оплачиваемые третьим лицам расходы, необходимые для оказания услуг: государственные пошлины, лабораторные испытания, экспертизы, лицензии сервисов, услуги типографий, площадок и т. п.</w:t>
      </w:r>
    </w:p>
    <w:bookmarkEnd w:id="21"/>
    <w:bookmarkStart w:id="22" w:name="Xaf52798b0aec4615ce3e5ff82c0588ba0af8a9b"/>
    <w:p>
      <w:pPr>
        <w:pStyle w:val="Heading2"/>
      </w:pPr>
      <w:r>
        <w:t xml:space="preserve">2. Предмет договора</w:t>
      </w:r>
    </w:p>
    <w:p>
      <w:pPr>
        <w:pStyle w:val="FirstParagraph"/>
      </w:pPr>
      <w:r>
        <w:t xml:space="preserve">2.1. Исполнитель обязуется оказать услуги в объёме и в сроки, указанные в Заказе, а Заказчик — принять и оплатить их.</w:t>
      </w:r>
    </w:p>
    <w:p>
      <w:pPr>
        <w:pStyle w:val="BodyText"/>
      </w:pPr>
      <w:r>
        <w:t xml:space="preserve">2.2. Описание услуг и ориентировочные цены размещены на Сайте и носят информационный характер. Окончательные состав, стоимость и сроки определяются Заказом.</w:t>
      </w:r>
    </w:p>
    <w:p>
      <w:pPr>
        <w:pStyle w:val="BodyText"/>
      </w:pPr>
      <w:r>
        <w:t xml:space="preserve">2.3. Исполнитель вправе привлекать третьих лиц (специалистов, партнёров, лаборатории) для оказания услуг, оставаясь ответственным перед Заказчиком за их надлежащее оказание в пределах, установленных разделом 8. По запросу Заказчика Исполнитель сообщает, кто участвует в оказании услуг.</w:t>
      </w:r>
    </w:p>
    <w:bookmarkEnd w:id="22"/>
    <w:bookmarkStart w:id="23" w:name="X2d97f177f96a34324fa25c2ba7ec58bee15249e"/>
    <w:p>
      <w:pPr>
        <w:pStyle w:val="Heading2"/>
      </w:pPr>
      <w:r>
        <w:t xml:space="preserve">3. Порядок заказа</w:t>
      </w:r>
    </w:p>
    <w:p>
      <w:pPr>
        <w:pStyle w:val="FirstParagraph"/>
      </w:pPr>
      <w:r>
        <w:t xml:space="preserve">3.1. Заказчик направляет заявку через Сайт, по электронной почте или телефону.</w:t>
      </w:r>
    </w:p>
    <w:p>
      <w:pPr>
        <w:pStyle w:val="BodyText"/>
      </w:pPr>
      <w:r>
        <w:t xml:space="preserve">3.2. Исполнитель уточняет задачу и направляет Заказчику предложение: состав услуг, результат, стоимость, сроки, перечень внешних расходов, материалы, которые нужны от Заказчика.</w:t>
      </w:r>
    </w:p>
    <w:p>
      <w:pPr>
        <w:pStyle w:val="BodyText"/>
      </w:pPr>
      <w:r>
        <w:t xml:space="preserve">3.3. После согласования предложения Исполнитель выставляет счёт. Оплата счёта означает согласие Заказчика с Заказом и настоящей офертой.</w:t>
      </w:r>
    </w:p>
    <w:bookmarkEnd w:id="23"/>
    <w:bookmarkStart w:id="24" w:name="X7cd7a894ccffa703d08868cf0d65e94a8afc28b"/>
    <w:p>
      <w:pPr>
        <w:pStyle w:val="Heading2"/>
      </w:pPr>
      <w:r>
        <w:t xml:space="preserve">4. Стоимость и порядок оплаты</w:t>
      </w:r>
    </w:p>
    <w:p>
      <w:pPr>
        <w:pStyle w:val="FirstParagraph"/>
      </w:pPr>
      <w:r>
        <w:t xml:space="preserve">4.1. Стоимость услуг указывается в Заказе и счёте в рублях.</w:t>
      </w:r>
    </w:p>
    <w:p>
      <w:pPr>
        <w:pStyle w:val="BodyText"/>
      </w:pPr>
      <w:r>
        <w:t xml:space="preserve">4.2. Если в Заказе не указано иное:</w:t>
      </w:r>
    </w:p>
    <w:p>
      <w:pPr>
        <w:numPr>
          <w:ilvl w:val="0"/>
          <w:numId w:val="1002"/>
        </w:numPr>
        <w:pStyle w:val="Compact"/>
      </w:pPr>
      <w:r>
        <w:t xml:space="preserve">фиксированные пакеты оплачиваются 100% предоплатой;</w:t>
      </w:r>
    </w:p>
    <w:p>
      <w:pPr>
        <w:numPr>
          <w:ilvl w:val="0"/>
          <w:numId w:val="1002"/>
        </w:numPr>
        <w:pStyle w:val="Compact"/>
      </w:pPr>
      <w:r>
        <w:t xml:space="preserve">проекты оплачиваются 50% авансом до начала работ и 50% в течение 5 рабочих дней после подписания акта;</w:t>
      </w:r>
    </w:p>
    <w:p>
      <w:pPr>
        <w:numPr>
          <w:ilvl w:val="0"/>
          <w:numId w:val="1002"/>
        </w:numPr>
        <w:pStyle w:val="Compact"/>
      </w:pPr>
      <w:r>
        <w:t xml:space="preserve">ежемесячное сопровождение оплачивается предоплатой за месяц.</w:t>
      </w:r>
    </w:p>
    <w:p>
      <w:pPr>
        <w:pStyle w:val="FirstParagraph"/>
      </w:pPr>
      <w:r>
        <w:t xml:space="preserve">4.3. Внешние расходы не входят в стоимость услуг, если иное прямо не указано в Заказе. Они оплачиваются Заказчиком по смете — непосредственно третьим лицам или через Исполнителя по его счёту.</w:t>
      </w:r>
    </w:p>
    <w:p>
      <w:pPr>
        <w:pStyle w:val="BodyText"/>
      </w:pPr>
      <w:r>
        <w:t xml:space="preserve">4.4. Оплата производится безналичным переводом с расчётного счёта Заказчика на расчётный счёт Исполнителя. Обязательство по оплате считается исполненным в момент зачисления денежных средств на расчётный счёт Исполнителя.</w:t>
      </w:r>
    </w:p>
    <w:p>
      <w:pPr>
        <w:pStyle w:val="BodyText"/>
      </w:pPr>
      <w:r>
        <w:t xml:space="preserve">4.5. Исполнитель вправе изменять цены на Сайте. Изменение цен не влияет на стоимость оплаченного Заказа.</w:t>
      </w:r>
    </w:p>
    <w:p>
      <w:pPr>
        <w:pStyle w:val="BodyText"/>
      </w:pPr>
      <w:r>
        <w:t xml:space="preserve">4.6. Исполнитель применяет упрощённую систему налогообложения и освобождён от исполнения обязанностей налогоплательщика НДС на основании пункта 1 статьи 145 Налогового кодекса Российской Федерации. Стоимость услуг НДС не облагается. Если основания для освобождения перестанут действовать, НДС указывается в счёте отдельной строкой.</w:t>
      </w:r>
    </w:p>
    <w:bookmarkEnd w:id="24"/>
    <w:bookmarkStart w:id="25" w:name="X282e113dedffd98213624f4a79beb995a8b0db9"/>
    <w:p>
      <w:pPr>
        <w:pStyle w:val="Heading2"/>
      </w:pPr>
      <w:r>
        <w:t xml:space="preserve">5. Сроки и порядок оказания услуг</w:t>
      </w:r>
    </w:p>
    <w:p>
      <w:pPr>
        <w:pStyle w:val="FirstParagraph"/>
      </w:pPr>
      <w:r>
        <w:t xml:space="preserve">5.1. Сроки указываются в Заказе в рабочих днях и начинают течь с даты поступления оплаты (аванса) и предоставления Заказчиком материалов, необходимых для начала работы, — в зависимости от того, что наступит позже.</w:t>
      </w:r>
    </w:p>
    <w:p>
      <w:pPr>
        <w:pStyle w:val="BodyText"/>
      </w:pPr>
      <w:r>
        <w:t xml:space="preserve">5.2. Если Заказчик задерживает предоставление материалов, ответов или согласований, срок оказания услуг продлевается на время задержки.</w:t>
      </w:r>
    </w:p>
    <w:p>
      <w:pPr>
        <w:pStyle w:val="BodyText"/>
      </w:pPr>
      <w:r>
        <w:t xml:space="preserve">5.3. Сроки рассмотрения документов государственными органами, аккредитованными лабораториями, экспертными организациями, маркетплейсами и иными третьими лицами не входят в сроки оказания услуг Исполнителем и не зависят от Исполнителя.</w:t>
      </w:r>
    </w:p>
    <w:bookmarkEnd w:id="25"/>
    <w:bookmarkStart w:id="26" w:name="Xe3b727b46461c89eccce9d25d2aa829a7cad420"/>
    <w:p>
      <w:pPr>
        <w:pStyle w:val="Heading2"/>
      </w:pPr>
      <w:r>
        <w:t xml:space="preserve">6. Сдача и приёмка</w:t>
      </w:r>
    </w:p>
    <w:p>
      <w:pPr>
        <w:pStyle w:val="FirstParagraph"/>
      </w:pPr>
      <w:r>
        <w:t xml:space="preserve">6.1. По завершении услуг (этапа) Исполнитель направляет Заказчику результат и акт об оказании услуг по электронной почте или через систему электронного документооборота.</w:t>
      </w:r>
    </w:p>
    <w:p>
      <w:pPr>
        <w:pStyle w:val="BodyText"/>
      </w:pPr>
      <w:r>
        <w:t xml:space="preserve">6.2. Заказчик в течение 5 рабочих дней принимает результат или направляет мотивированные замечания. Замечания, относящиеся к согласованному объёму Заказа, Исполнитель устраняет в разумный срок. Если в Заказе предусмотрено количество раундов правок, правки сверх этого количества оплачиваются отдельно.</w:t>
      </w:r>
    </w:p>
    <w:p>
      <w:pPr>
        <w:pStyle w:val="BodyText"/>
      </w:pPr>
      <w:r>
        <w:t xml:space="preserve">6.3. Если в течение 5 рабочих дней мотивированные замечания не поступили, услуги считаются принятыми, а акт — подписанным.</w:t>
      </w:r>
    </w:p>
    <w:bookmarkEnd w:id="26"/>
    <w:bookmarkStart w:id="27" w:name="Xb7e798f7c40568be5d52eacf1afdc8a32e38128"/>
    <w:p>
      <w:pPr>
        <w:pStyle w:val="Heading2"/>
      </w:pPr>
      <w:r>
        <w:t xml:space="preserve">7. Отказ от договора и возврат</w:t>
      </w:r>
    </w:p>
    <w:p>
      <w:pPr>
        <w:pStyle w:val="FirstParagraph"/>
      </w:pPr>
      <w:r>
        <w:t xml:space="preserve">7.1. Заказчик вправе отказаться от договора в любое время, уведомив Исполнителя письменно. В этом случае Заказчик оплачивает фактически оказанные услуги и понесённые Исполнителем внешние расходы (статья 782 ГК РФ).</w:t>
      </w:r>
    </w:p>
    <w:p>
      <w:pPr>
        <w:pStyle w:val="BodyText"/>
      </w:pPr>
      <w:r>
        <w:t xml:space="preserve">7.2. Если оказание услуг по предоплате не начато, Исполнитель возвращает оплату полностью в течение 10 рабочих дней с даты получения уведомления.</w:t>
      </w:r>
    </w:p>
    <w:p>
      <w:pPr>
        <w:pStyle w:val="BodyText"/>
      </w:pPr>
      <w:r>
        <w:t xml:space="preserve">7.3. Если оказание услуг начато, Исполнитель возвращает оплату за вычетом стоимости оказанной части и понесённых внешних расходов.</w:t>
      </w:r>
    </w:p>
    <w:p>
      <w:pPr>
        <w:pStyle w:val="BodyText"/>
      </w:pPr>
      <w:r>
        <w:t xml:space="preserve">7.4. Внешние расходы, оплаченные третьим лицам (в том числе государственные пошлины и испытания), возвращаются в порядке, установленном соответствующими третьими лицами и законодательством.</w:t>
      </w:r>
    </w:p>
    <w:bookmarkEnd w:id="27"/>
    <w:bookmarkStart w:id="28" w:name="Xa30d8c6d3811b603d4b01af408da71639ce73b8"/>
    <w:p>
      <w:pPr>
        <w:pStyle w:val="Heading2"/>
      </w:pPr>
      <w:r>
        <w:t xml:space="preserve">8. Ответственность и ограничения</w:t>
      </w:r>
    </w:p>
    <w:p>
      <w:pPr>
        <w:pStyle w:val="FirstParagraph"/>
      </w:pPr>
      <w:r>
        <w:t xml:space="preserve">8.1. Исполнитель не гарантирует решения государственных органов, экспертных организаций, лабораторий, маркетплейсов и иных третьих лиц, в том числе выдачу свидетельства о государственной регистрации или регистрацию декларации, а также сроки их рассмотрения. Исполнитель отвечает за качество подготовленных им материалов и соблюдение согласованного порядка работы.</w:t>
      </w:r>
    </w:p>
    <w:p>
      <w:pPr>
        <w:pStyle w:val="BodyText"/>
      </w:pPr>
      <w:r>
        <w:t xml:space="preserve">8.2. Исполнитель не гарантирует достижение коммерческих показателей (объёма продаж, позиций в поиске, количества заявок), если такие показатели прямо не включены в Заказ как обязательство Исполнителя.</w:t>
      </w:r>
    </w:p>
    <w:p>
      <w:pPr>
        <w:pStyle w:val="BodyText"/>
      </w:pPr>
      <w:r>
        <w:t xml:space="preserve">8.3. Заказчик отвечает за достоверность и полноту предоставленных сведений и документов (состав продукции, сведения об изготовителе, протоколы, разрешения), а также за наличие у него прав на материалы, переданные Исполнителю для использования.</w:t>
      </w:r>
    </w:p>
    <w:p>
      <w:pPr>
        <w:pStyle w:val="BodyText"/>
      </w:pPr>
      <w:r>
        <w:t xml:space="preserve">8.4. Решения о выпуске продукции в обращение, о содержании маркировки и рекламы принимает Заказчик. Рекомендации Исполнителя по формулировкам носят консультационный характер.</w:t>
      </w:r>
    </w:p>
    <w:p>
      <w:pPr>
        <w:pStyle w:val="BodyText"/>
      </w:pPr>
      <w:r>
        <w:t xml:space="preserve">8.5. Ответственность Исполнителя по договору ограничивается суммой, фактически уплаченной Заказчиком за соответствующий Заказ, за исключением случаев умысла.</w:t>
      </w:r>
    </w:p>
    <w:p>
      <w:pPr>
        <w:pStyle w:val="BodyText"/>
      </w:pPr>
      <w:r>
        <w:t xml:space="preserve">8.6. Стороны освобождаются от ответственности за неисполнение обязательств вследствие обстоятельств непреодолимой силы.</w:t>
      </w:r>
    </w:p>
    <w:bookmarkEnd w:id="28"/>
    <w:bookmarkStart w:id="29" w:name="Xcd026897d7b937d5ae29da6a500932e3c82e298"/>
    <w:p>
      <w:pPr>
        <w:pStyle w:val="Heading2"/>
      </w:pPr>
      <w:r>
        <w:t xml:space="preserve">9. Права на результаты</w:t>
      </w:r>
    </w:p>
    <w:p>
      <w:pPr>
        <w:pStyle w:val="FirstParagraph"/>
      </w:pPr>
      <w:r>
        <w:t xml:space="preserve">9.1. Исключительные права на результаты, созданные Исполнителем по Заказу (тексты, макеты, дизайн, программный код, отчёты), переходят к Заказчику в момент полной оплаты соответствующего Заказа, если в Заказе не указано иное.</w:t>
      </w:r>
    </w:p>
    <w:p>
      <w:pPr>
        <w:pStyle w:val="BodyText"/>
      </w:pPr>
      <w:r>
        <w:t xml:space="preserve">9.2. Исполнитель вправе упоминать факт сотрудничества и показывать результаты в портфолио только с письменного согласия Заказчика.</w:t>
      </w:r>
    </w:p>
    <w:p>
      <w:pPr>
        <w:pStyle w:val="BodyText"/>
      </w:pPr>
      <w:r>
        <w:t xml:space="preserve">9.3. Права на сторонние материалы (шрифты, изображения из фотобанков, программы и сервисы третьих лиц) предоставляются на условиях их правообладателей.</w:t>
      </w:r>
    </w:p>
    <w:bookmarkEnd w:id="29"/>
    <w:bookmarkStart w:id="30" w:name="Xe4581c4df9b1723985886455e24f6aef777a360"/>
    <w:p>
      <w:pPr>
        <w:pStyle w:val="Heading2"/>
      </w:pPr>
      <w:r>
        <w:t xml:space="preserve">10. Конфиденциальность и персональные данные</w:t>
      </w:r>
    </w:p>
    <w:p>
      <w:pPr>
        <w:pStyle w:val="FirstParagraph"/>
      </w:pPr>
      <w:r>
        <w:t xml:space="preserve">10.1. Стороны сохраняют в тайне сведения о деятельности друг друга, полученные при исполнении договора и не являющиеся общедоступными, в течение срока действия договора и трёх лет после его окончания. Это не распространяется на раскрытие сведений по требованию закона и третьим лицам, привлечённым к оказанию услуг, в объёме, необходимом для оказания услуг.</w:t>
      </w:r>
    </w:p>
    <w:p>
      <w:pPr>
        <w:pStyle w:val="BodyText"/>
      </w:pPr>
      <w:r>
        <w:t xml:space="preserve">10.2. Обработка персональных данных осуществляется в соответствии с Политикой обработки персональных данных Исполнителя, размещённой на Сайте.</w:t>
      </w:r>
    </w:p>
    <w:bookmarkEnd w:id="30"/>
    <w:bookmarkStart w:id="31" w:name="X214b478d14ce26f4991871e76d44fa3efeb2c25"/>
    <w:p>
      <w:pPr>
        <w:pStyle w:val="Heading2"/>
      </w:pPr>
      <w:r>
        <w:t xml:space="preserve">11. Разрешение споров</w:t>
      </w:r>
    </w:p>
    <w:p>
      <w:pPr>
        <w:pStyle w:val="FirstParagraph"/>
      </w:pPr>
      <w:r>
        <w:t xml:space="preserve">11.1. Споры разрешаются путём переговоров. Претензионный порядок обязателен; срок ответа на претензию — 30 календарных дней с даты её получения.</w:t>
      </w:r>
    </w:p>
    <w:p>
      <w:pPr>
        <w:pStyle w:val="BodyText"/>
      </w:pPr>
      <w:r>
        <w:t xml:space="preserve">11.2. Если спор не урегулирован, он подлежит рассмотрению в арбитражном суде по месту нахождения Исполнителя.</w:t>
      </w:r>
    </w:p>
    <w:bookmarkEnd w:id="31"/>
    <w:bookmarkStart w:id="32" w:name="X18d1a9ad1d685373efb5d610eb271b66cbee37a"/>
    <w:p>
      <w:pPr>
        <w:pStyle w:val="Heading2"/>
      </w:pPr>
      <w:r>
        <w:t xml:space="preserve">12. Срок действия оферты</w:t>
      </w:r>
    </w:p>
    <w:p>
      <w:pPr>
        <w:pStyle w:val="FirstParagraph"/>
      </w:pPr>
      <w:r>
        <w:t xml:space="preserve">12.1. Оферта действует с даты размещения на Сайте до её отзыва. Исполнитель вправе изменить оферту, разместив новую редакцию на Сайте. Новая редакция не применяется к Заказам, оплаченным до её размещения.</w:t>
      </w:r>
    </w:p>
    <w:bookmarkEnd w:id="32"/>
    <w:bookmarkStart w:id="33" w:name="X235976a8ca4032bd0dbb78d1838a87816234aff"/>
    <w:p>
      <w:pPr>
        <w:pStyle w:val="Heading2"/>
      </w:pPr>
      <w:r>
        <w:t xml:space="preserve">13. Реквизиты Исполнителя</w:t>
      </w:r>
    </w:p>
    <w:p>
      <w:pPr>
        <w:pStyle w:val="FirstParagraph"/>
      </w:pPr>
      <w:r>
        <w:t xml:space="preserve">Индивидуальный предприниматель Коптелин Илья Алексеевич</w:t>
      </w:r>
      <w:r>
        <w:t xml:space="preserve"> </w:t>
      </w:r>
      <w:r>
        <w:t xml:space="preserve">ИНН 540821689171</w:t>
      </w:r>
      <w:r>
        <w:t xml:space="preserve"> </w:t>
      </w:r>
      <w:r>
        <w:t xml:space="preserve">ОГРНИП 326547600096728</w:t>
      </w:r>
      <w:r>
        <w:t xml:space="preserve"> </w:t>
      </w:r>
      <w:r>
        <w:t xml:space="preserve">Адрес: 633203, Россия, Новосибирская область, г. Искитим, мкр Индустриальный, 35, 36</w:t>
      </w:r>
      <w:r>
        <w:t xml:space="preserve"> </w:t>
      </w:r>
      <w:r>
        <w:t xml:space="preserve">НДС: не облагается (п. 1 ст. 145 НК РФ, УСН)</w:t>
      </w:r>
      <w:r>
        <w:t xml:space="preserve"> </w:t>
      </w:r>
      <w:r>
        <w:t xml:space="preserve">Расчётный счёт: 40802810523550007066</w:t>
      </w:r>
      <w:r>
        <w:t xml:space="preserve"> </w:t>
      </w:r>
      <w:r>
        <w:t xml:space="preserve">Банк: ФИЛИАЛ «НОВОСИБИРСКИЙ» АО «АЛЬФА-БАНК»</w:t>
      </w:r>
      <w:r>
        <w:t xml:space="preserve"> </w:t>
      </w:r>
      <w:r>
        <w:t xml:space="preserve">ИНН банка: 7728168971</w:t>
      </w:r>
      <w:r>
        <w:t xml:space="preserve"> </w:t>
      </w:r>
      <w:r>
        <w:t xml:space="preserve">БИК: 045004774</w:t>
      </w:r>
      <w:r>
        <w:t xml:space="preserve"> </w:t>
      </w:r>
      <w:r>
        <w:t xml:space="preserve">Корреспондентский счёт: 30101810600000000774</w:t>
      </w:r>
      <w:r>
        <w:t xml:space="preserve"> </w:t>
      </w:r>
      <w:r>
        <w:t xml:space="preserve">Адрес банка: 630099, Новосибирская область, г. Новосибирск, ул. Советская, зд. 33</w:t>
      </w:r>
      <w:r>
        <w:t xml:space="preserve"> </w:t>
      </w:r>
      <w:r>
        <w:t xml:space="preserve">Телефон: +7 981 100-28-48</w:t>
      </w:r>
      <w:r>
        <w:t xml:space="preserve"> </w:t>
      </w:r>
      <w:r>
        <w:t xml:space="preserve">Электронная почта:</w:t>
      </w:r>
      <w:r>
        <w:t xml:space="preserve"> </w:t>
      </w:r>
      <w:hyperlink r:id="rId20">
        <w:r>
          <w:rPr>
            <w:rStyle w:val="Hyperlink"/>
          </w:rPr>
          <w:t xml:space="preserve">i.koptelin@proba-lab.ru</w:t>
        </w:r>
      </w:hyperlink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mailto:i.koptelin@proba-lab.r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mailto:i.koptelin@proba-lab.r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2026-10-27T11:10:37Z</dcterms:created>
  <dcterms:modified xsi:type="dcterms:W3CDTF">2026-10-27T11:10:37Z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