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политика-обработки-персональных-данных"/>
    <w:p>
      <w:pPr>
        <w:pStyle w:val="Heading1"/>
      </w:pPr>
      <w:r>
        <w:t xml:space="preserve">Политика обработки персональных данных</w:t>
      </w:r>
    </w:p>
    <w:p>
      <w:pPr>
        <w:pStyle w:val="FirstParagraph"/>
      </w:pPr>
      <w:r>
        <w:t xml:space="preserve">Индивидуальный предприниматель Коптелин Илья Алексеевич</w:t>
      </w:r>
      <w:r>
        <w:t xml:space="preserve"> </w:t>
      </w:r>
      <w:r>
        <w:t xml:space="preserve">Редакция от 26 октября 2026 года</w:t>
      </w:r>
    </w:p>
    <w:bookmarkStart w:id="20" w:name="Xc4211d805ccb1d1758c2b033f718de644cb7c63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разработана в соответствии с Федеральным законом от 27.07.2006 № 152-ФЗ «О персональных данных» (далее — Закон) и определяет порядок и условия обработки персональных данных, а также меры по обеспечению их безопасности.</w:t>
      </w:r>
    </w:p>
    <w:p>
      <w:pPr>
        <w:pStyle w:val="BodyText"/>
      </w:pPr>
      <w:r>
        <w:t xml:space="preserve">1.2. Оператор персональных данных — индивидуальный предприниматель Коптелин Илья Алексеевич (ИНН 540821689171, ОГРНИП 326547600096728, адрес: 633203, Новосибирская область, г. Искитим, мкр Индустриальный, 35, 36), далее — «Оператор».</w:t>
      </w:r>
    </w:p>
    <w:p>
      <w:pPr>
        <w:pStyle w:val="BodyText"/>
      </w:pPr>
      <w:r>
        <w:t xml:space="preserve">1.3. Политика применяется ко всем персональным данным, которые Оператор получает через сайт Proba Lab (далее — Сайт), по электронной почте, телефону, в мессенджерах и при исполнении договоров.</w:t>
      </w:r>
    </w:p>
    <w:p>
      <w:pPr>
        <w:pStyle w:val="BodyText"/>
      </w:pPr>
      <w:r>
        <w:t xml:space="preserve">1.4. Политика опубликована на Сайте в свободном доступе.</w:t>
      </w:r>
    </w:p>
    <w:p>
      <w:pPr>
        <w:pStyle w:val="BodyText"/>
      </w:pPr>
      <w:r>
        <w:t xml:space="preserve">1.5. Основные термины используются в значениях, установленных статьёй 3 Закона: персональные данные, обработка, автоматизированная обработка, распространение, предоставление, блокирование, уничтожение, обезличивание, информационная система персональных данных, трансграничная передача.</w:t>
      </w:r>
    </w:p>
    <w:bookmarkEnd w:id="20"/>
    <w:bookmarkStart w:id="21" w:name="X2606bc486910a6e4857065c9dc164d71a51b1aa"/>
    <w:p>
      <w:pPr>
        <w:pStyle w:val="Heading2"/>
      </w:pPr>
      <w:r>
        <w:t xml:space="preserve">2. Цели обработки</w:t>
      </w:r>
    </w:p>
    <w:p>
      <w:pPr>
        <w:pStyle w:val="FirstParagraph"/>
      </w:pPr>
      <w:r>
        <w:t xml:space="preserve">Оператор обрабатывает персональные данные в следующих целях:</w:t>
      </w:r>
    </w:p>
    <w:p>
      <w:pPr>
        <w:numPr>
          <w:ilvl w:val="0"/>
          <w:numId w:val="1001"/>
        </w:numPr>
        <w:pStyle w:val="Compact"/>
      </w:pPr>
      <w:r>
        <w:t xml:space="preserve">Ответ на заявки и обращения, направленные через формы Сайта, по почте, телефону или в мессенджерах.</w:t>
      </w:r>
    </w:p>
    <w:p>
      <w:pPr>
        <w:numPr>
          <w:ilvl w:val="0"/>
          <w:numId w:val="1001"/>
        </w:numPr>
        <w:pStyle w:val="Compact"/>
      </w:pPr>
      <w:r>
        <w:t xml:space="preserve">Подготовка, заключение, исполнение и прекращение договоров с клиентами, партнёрами и подрядчиками.</w:t>
      </w:r>
    </w:p>
    <w:p>
      <w:pPr>
        <w:numPr>
          <w:ilvl w:val="0"/>
          <w:numId w:val="1001"/>
        </w:numPr>
        <w:pStyle w:val="Compact"/>
      </w:pPr>
      <w:r>
        <w:t xml:space="preserve">Выставление счетов, приёмка услуг, бухгалтерский и налоговый учёт.</w:t>
      </w:r>
    </w:p>
    <w:p>
      <w:pPr>
        <w:numPr>
          <w:ilvl w:val="0"/>
          <w:numId w:val="1001"/>
        </w:numPr>
        <w:pStyle w:val="Compact"/>
      </w:pPr>
      <w:r>
        <w:t xml:space="preserve">Улучшение работы Сайта на основе обезличенной статистики посещений.</w:t>
      </w:r>
    </w:p>
    <w:p>
      <w:pPr>
        <w:numPr>
          <w:ilvl w:val="0"/>
          <w:numId w:val="1001"/>
        </w:numPr>
        <w:pStyle w:val="Compact"/>
      </w:pPr>
      <w:r>
        <w:t xml:space="preserve">Направление информационных и рекламных сообщений — только при наличии отдельного согласия на их получение.</w:t>
      </w:r>
    </w:p>
    <w:bookmarkEnd w:id="21"/>
    <w:bookmarkStart w:id="22" w:name="Xd69023a3e3911a6176d19f8bea73a11f8fa2fec"/>
    <w:p>
      <w:pPr>
        <w:pStyle w:val="Heading2"/>
      </w:pPr>
      <w:r>
        <w:t xml:space="preserve">3. Правовые основания</w:t>
      </w:r>
    </w:p>
    <w:p>
      <w:pPr>
        <w:pStyle w:val="FirstParagraph"/>
      </w:pPr>
      <w:r>
        <w:t xml:space="preserve">3.1. Обработка осуществляется на основании:</w:t>
      </w:r>
    </w:p>
    <w:p>
      <w:pPr>
        <w:numPr>
          <w:ilvl w:val="0"/>
          <w:numId w:val="1002"/>
        </w:numPr>
        <w:pStyle w:val="Compact"/>
      </w:pPr>
      <w:r>
        <w:t xml:space="preserve">согласия субъекта персональных данных (пункт 1 части 1 статьи 6 Закона);</w:t>
      </w:r>
    </w:p>
    <w:p>
      <w:pPr>
        <w:numPr>
          <w:ilvl w:val="0"/>
          <w:numId w:val="1002"/>
        </w:numPr>
        <w:pStyle w:val="Compact"/>
      </w:pPr>
      <w:r>
        <w:t xml:space="preserve">необходимости исполнения договора, стороной которого является субъект персональных данных, или заключения договора по его инициативе (пункт 5 части 1 статьи 6 Закона);</w:t>
      </w:r>
    </w:p>
    <w:p>
      <w:pPr>
        <w:numPr>
          <w:ilvl w:val="0"/>
          <w:numId w:val="1002"/>
        </w:numPr>
        <w:pStyle w:val="Compact"/>
      </w:pPr>
      <w:r>
        <w:t xml:space="preserve">необходимости исполнения обязанностей, возложенных на Оператора законодательством (налоговым, бухгалтерским).</w:t>
      </w:r>
    </w:p>
    <w:p>
      <w:pPr>
        <w:pStyle w:val="FirstParagraph"/>
      </w:pPr>
      <w:r>
        <w:t xml:space="preserve">3.2. Согласие на обработку персональных данных оформляется отдельно от иных документов и подтверждается отметкой в форме на Сайте.</w:t>
      </w:r>
    </w:p>
    <w:bookmarkEnd w:id="22"/>
    <w:bookmarkStart w:id="23" w:name="Xd6132b0bb68536794146f30193ed68362bdf39f"/>
    <w:p>
      <w:pPr>
        <w:pStyle w:val="Heading2"/>
      </w:pPr>
      <w:r>
        <w:t xml:space="preserve">4. Категории субъектов и состав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Посетители Сайта, оставившие заявку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имя, телефон, адрес электронной почты, ник в мессенджере, название компании, ссылка на продукт или сайт, сведения о задаче, которые субъект сообщил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Клиенты, представители клиентов и партнёров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должность, контактные данные, реквизиты (для ИП), сведения, необходимые для исполнения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Посетители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обезличенные данные о посещении (cookie, IP-адрес, сведения о браузере и устройстве) — при наличии согласия на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Подписчики рассылки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электронной почты, 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</w:tbl>
    <w:p>
      <w:pPr>
        <w:pStyle w:val="BodyText"/>
      </w:pPr>
      <w:r>
        <w:t xml:space="preserve">4.1. Оператор не обрабатывает специальные категории персональных данных (сведения о здоровье, расовой и национальной принадлежности, политических взглядах, религиозных убеждениях и др.) и биометрические персональные данные.</w:t>
      </w:r>
    </w:p>
    <w:p>
      <w:pPr>
        <w:pStyle w:val="BodyText"/>
      </w:pPr>
      <w:r>
        <w:t xml:space="preserve">4.2. Сведения о составе продукции, документах и деятельности компании клиента не являются персональными данными и обрабатываются как конфиденциальная информация по договору.</w:t>
      </w:r>
    </w:p>
    <w:bookmarkEnd w:id="23"/>
    <w:bookmarkStart w:id="24" w:name="X2343b95d79799f7cff4022a8190c0ce68645ace"/>
    <w:p>
      <w:pPr>
        <w:pStyle w:val="Heading2"/>
      </w:pPr>
      <w:r>
        <w:t xml:space="preserve">5. Порядок и условия обработки</w:t>
      </w:r>
    </w:p>
    <w:p>
      <w:pPr>
        <w:pStyle w:val="FirstParagraph"/>
      </w:pPr>
      <w:r>
        <w:t xml:space="preserve">5.1. Обработка включает сбор, запись, систематизацию, накопление, хранение, уточнение, извлечение, использование, передачу (предоставление, доступ), обезличивание, блокирование, удаление, уничтожение — с использованием средств автоматизации и без них.</w:t>
      </w:r>
    </w:p>
    <w:p>
      <w:pPr>
        <w:pStyle w:val="BodyText"/>
      </w:pPr>
      <w:r>
        <w:t xml:space="preserve">5.2. При сборе персональных данных граждан Российской Федерации, в том числе через Сайт, запись, систематизация, накопление, хранение, уточнение и извлечение осуществляются с использованием баз данных, находящихся на территории Российской Федерации (часть 5 статьи 18 Закона).</w:t>
      </w:r>
    </w:p>
    <w:p>
      <w:pPr>
        <w:pStyle w:val="BodyText"/>
      </w:pPr>
      <w:r>
        <w:t xml:space="preserve">5.3. Передача (предоставление) персональных данных третьим лицам:</w:t>
      </w:r>
    </w:p>
    <w:p>
      <w:pPr>
        <w:numPr>
          <w:ilvl w:val="0"/>
          <w:numId w:val="1003"/>
        </w:numPr>
        <w:pStyle w:val="Compact"/>
      </w:pPr>
      <w:r>
        <w:t xml:space="preserve">подрядчикам Оператора, участвующим в оказании услуг (регистрация и подтверждение соответствия продукции, лабораторные испытания, дизайн, разработка), — только в объёме, необходимом для исполнения договора, и только с согласия субъекта, в котором указаны такие лица, либо по поручению Оператора на условиях части 3 статьи 6 Закона;</w:t>
      </w:r>
    </w:p>
    <w:p>
      <w:pPr>
        <w:numPr>
          <w:ilvl w:val="0"/>
          <w:numId w:val="1003"/>
        </w:numPr>
        <w:pStyle w:val="Compact"/>
      </w:pPr>
      <w:r>
        <w:t xml:space="preserve">банкам и операторам электронного документооборота — для расчётов и обмена документами;</w:t>
      </w:r>
    </w:p>
    <w:p>
      <w:pPr>
        <w:numPr>
          <w:ilvl w:val="0"/>
          <w:numId w:val="1003"/>
        </w:numPr>
        <w:pStyle w:val="Compact"/>
      </w:pPr>
      <w:r>
        <w:t xml:space="preserve">государственным органам — в случаях, предусмотренных законодательством.</w:t>
      </w:r>
    </w:p>
    <w:p>
      <w:pPr>
        <w:pStyle w:val="FirstParagraph"/>
      </w:pPr>
      <w:r>
        <w:t xml:space="preserve">5.4. Трансграничная передача персональных данных не осуществляется.</w:t>
      </w:r>
    </w:p>
    <w:p>
      <w:pPr>
        <w:pStyle w:val="BodyText"/>
      </w:pPr>
      <w:r>
        <w:t xml:space="preserve">5.5. Сроки хранения:</w:t>
      </w:r>
    </w:p>
    <w:p>
      <w:pPr>
        <w:numPr>
          <w:ilvl w:val="0"/>
          <w:numId w:val="1004"/>
        </w:numPr>
        <w:pStyle w:val="Compact"/>
      </w:pPr>
      <w:r>
        <w:t xml:space="preserve">данные из заявок, по которым договор не заключён, — не более 3 лет с даты последнего обращения;</w:t>
      </w:r>
    </w:p>
    <w:p>
      <w:pPr>
        <w:numPr>
          <w:ilvl w:val="0"/>
          <w:numId w:val="1004"/>
        </w:numPr>
        <w:pStyle w:val="Compact"/>
      </w:pPr>
      <w:r>
        <w:t xml:space="preserve">данные, связанные с исполнением договора, — в течение срока действия договора и 5 лет после его окончания (сроки хранения бухгалтерских документов);</w:t>
      </w:r>
    </w:p>
    <w:p>
      <w:pPr>
        <w:numPr>
          <w:ilvl w:val="0"/>
          <w:numId w:val="1004"/>
        </w:numPr>
        <w:pStyle w:val="Compact"/>
      </w:pPr>
      <w:r>
        <w:t xml:space="preserve">данные для рассылок — до отзыва согласия.</w:t>
      </w:r>
    </w:p>
    <w:p>
      <w:pPr>
        <w:pStyle w:val="FirstParagraph"/>
      </w:pPr>
      <w:r>
        <w:t xml:space="preserve">По истечении сроков данные уничтожаются или обезличиваются.</w:t>
      </w:r>
    </w:p>
    <w:p>
      <w:pPr>
        <w:pStyle w:val="BodyText"/>
      </w:pPr>
      <w:r>
        <w:t xml:space="preserve">5.6. Оператор принимает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распространения: ограничение доступа, использование защищённых сервисов, хранение в информационных системах на территории Российской Федерации, учёт лиц, имеющих доступ.</w:t>
      </w:r>
    </w:p>
    <w:bookmarkEnd w:id="24"/>
    <w:bookmarkStart w:id="25" w:name="X0d1018d3d5307b41ed642b8b0e8aa28c9b11052"/>
    <w:p>
      <w:pPr>
        <w:pStyle w:val="Heading2"/>
      </w:pPr>
      <w:r>
        <w:t xml:space="preserve">6. Cookie и сервисы аналитики</w:t>
      </w:r>
    </w:p>
    <w:p>
      <w:pPr>
        <w:pStyle w:val="FirstParagraph"/>
      </w:pPr>
      <w:r>
        <w:t xml:space="preserve">6.1. Сайт может использовать cookie и сервис веб-аналитики «Яндекс Метрика» для обезличенной статистики посещений. Аналитические cookie подключаются только после согласия посетителя в баннере на Сайте. Посетитель может отключить cookie в настройках браузера.</w:t>
      </w:r>
    </w:p>
    <w:bookmarkEnd w:id="25"/>
    <w:bookmarkStart w:id="27" w:name="X7fb0816738fb8ee28434057d3e2474ef9a59488"/>
    <w:p>
      <w:pPr>
        <w:pStyle w:val="Heading2"/>
      </w:pPr>
      <w:r>
        <w:t xml:space="preserve">7. Права субъекта персональных данных</w:t>
      </w:r>
    </w:p>
    <w:p>
      <w:pPr>
        <w:pStyle w:val="FirstParagraph"/>
      </w:pPr>
      <w:r>
        <w:t xml:space="preserve">7.1. Субъект вправе:</w:t>
      </w:r>
    </w:p>
    <w:p>
      <w:pPr>
        <w:numPr>
          <w:ilvl w:val="0"/>
          <w:numId w:val="1005"/>
        </w:numPr>
        <w:pStyle w:val="Compact"/>
      </w:pPr>
      <w:r>
        <w:t xml:space="preserve">получить сведения об обработке его персональных данных (часть 7 статьи 14 Закона);</w:t>
      </w:r>
    </w:p>
    <w:p>
      <w:pPr>
        <w:numPr>
          <w:ilvl w:val="0"/>
          <w:numId w:val="1005"/>
        </w:numPr>
        <w:pStyle w:val="Compact"/>
      </w:pPr>
      <w:r>
        <w:t xml:space="preserve">требовать уточнения, блокирования или уничтожения данных, если они неполные, устаревшие, неточные, незаконно полученные или не нужны для заявленной цели;</w:t>
      </w:r>
    </w:p>
    <w:p>
      <w:pPr>
        <w:numPr>
          <w:ilvl w:val="0"/>
          <w:numId w:val="1005"/>
        </w:numPr>
        <w:pStyle w:val="Compact"/>
      </w:pPr>
      <w:r>
        <w:t xml:space="preserve">отозвать согласие на обработку;</w:t>
      </w:r>
    </w:p>
    <w:p>
      <w:pPr>
        <w:numPr>
          <w:ilvl w:val="0"/>
          <w:numId w:val="1005"/>
        </w:numPr>
        <w:pStyle w:val="Compact"/>
      </w:pPr>
      <w:r>
        <w:t xml:space="preserve">обжаловать действия Оператора в Роскомнадзор или в суд.</w:t>
      </w:r>
    </w:p>
    <w:p>
      <w:pPr>
        <w:pStyle w:val="FirstParagraph"/>
      </w:pPr>
      <w:r>
        <w:t xml:space="preserve">7.2. Запросы направляются на электронную почту</w:t>
      </w:r>
      <w:r>
        <w:t xml:space="preserve"> </w:t>
      </w:r>
      <w:hyperlink r:id="rId26">
        <w:r>
          <w:rPr>
            <w:rStyle w:val="Hyperlink"/>
          </w:rPr>
          <w:t xml:space="preserve">i.koptelin@proba-lab.ru</w:t>
        </w:r>
      </w:hyperlink>
      <w:r>
        <w:t xml:space="preserve"> </w:t>
      </w:r>
      <w:r>
        <w:t xml:space="preserve">или по адресу Оператора. Оператор отвечает в срок, не превышающий 10 рабочих дней с даты получения запроса; срок может быть продлён не более чем на 5 рабочих дней с уведомлением субъекта о причинах (статья 14 Закона).</w:t>
      </w:r>
    </w:p>
    <w:p>
      <w:pPr>
        <w:pStyle w:val="BodyText"/>
      </w:pPr>
      <w:r>
        <w:t xml:space="preserve">7.3. При отзыве согласия Оператор прекращает обработку и уничтожает данные в срок, не превышающий 30 дней, если отсутствуют иные законные основания для обработки.</w:t>
      </w:r>
    </w:p>
    <w:bookmarkEnd w:id="27"/>
    <w:bookmarkStart w:id="28" w:name="X77942707e1f0abd7122db182663106586c44648"/>
    <w:p>
      <w:pPr>
        <w:pStyle w:val="Heading2"/>
      </w:pPr>
      <w:r>
        <w:t xml:space="preserve">8. Заключительные положения</w:t>
      </w:r>
    </w:p>
    <w:p>
      <w:pPr>
        <w:pStyle w:val="FirstParagraph"/>
      </w:pPr>
      <w:r>
        <w:t xml:space="preserve">8.1. Оператор вправе изменять Политику. Новая редакция вступает в силу с момента размещения на Сайте.</w:t>
      </w:r>
    </w:p>
    <w:p>
      <w:pPr>
        <w:pStyle w:val="BodyText"/>
      </w:pPr>
      <w:r>
        <w:t xml:space="preserve">8.2. По вопросам обработки персональных данных:</w:t>
      </w:r>
      <w:r>
        <w:t xml:space="preserve"> </w:t>
      </w:r>
      <w:hyperlink r:id="rId26">
        <w:r>
          <w:rPr>
            <w:rStyle w:val="Hyperlink"/>
          </w:rPr>
          <w:t xml:space="preserve">i.koptelin@proba-lab.ru</w:t>
        </w:r>
      </w:hyperlink>
      <w:r>
        <w:t xml:space="preserve">, +7 981 100-28-48.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mailto:i.koptelin@proba-lab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mailto:i.koptelin@proba-lab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2026-10-27T11:10:38Z</dcterms:created>
  <dcterms:modified xsi:type="dcterms:W3CDTF">2026-10-27T11:10:38Z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