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лид-магниты-proba-lab"/>
    <w:p>
      <w:pPr>
        <w:pStyle w:val="Heading1"/>
      </w:pPr>
      <w:r>
        <w:t xml:space="preserve">Лид-магниты Proba Lab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2026-10-26. Принцип: каждый решает одну реальную проблему, даёт материальный результат и собирает данные, которые нужны для сметы следующей услуги. Без PDF-«гайдов» в обмен на телефон.</w:t>
      </w:r>
    </w:p>
    <w:bookmarkStart w:id="23" w:name="первая-волна-на-сайте-v3"/>
    <w:p>
      <w:pPr>
        <w:pStyle w:val="Heading2"/>
      </w:pPr>
      <w:r>
        <w:t xml:space="preserve">Первая волна (на сайте v3)</w:t>
      </w:r>
    </w:p>
    <w:bookmarkStart w:id="20" w:name="X0dbccdbd80f0596bcebf6f7696878cf1060d901"/>
    <w:p>
      <w:pPr>
        <w:pStyle w:val="Heading3"/>
      </w:pPr>
      <w:r>
        <w:t xml:space="preserve">1. Карта документов —</w:t>
      </w:r>
      <w:r>
        <w:t xml:space="preserve"> </w:t>
      </w:r>
      <w:r>
        <w:rPr>
          <w:rStyle w:val="VerbatimChar"/>
        </w:rPr>
        <w:t xml:space="preserve">dokumenty/karta-dokumentov.html</w:t>
      </w:r>
    </w:p>
    <w:p>
      <w:pPr>
        <w:pStyle w:val="FirstParagraph"/>
      </w:pPr>
      <w:r>
        <w:rPr>
          <w:bCs/>
          <w:b/>
        </w:rPr>
        <w:t xml:space="preserve">Проблема клиента:</w:t>
      </w:r>
      <w:r>
        <w:t xml:space="preserve"> </w:t>
      </w:r>
      <w:r>
        <w:t xml:space="preserve">«Какой документ нужен, сколько это стоит, сколько ждать и не откажут ли?»</w:t>
      </w:r>
    </w:p>
    <w:p>
      <w:pPr>
        <w:pStyle w:val="BodyText"/>
      </w:pPr>
      <w:r>
        <w:rPr>
          <w:bCs/>
          <w:b/>
        </w:rPr>
        <w:t xml:space="preserve">Клиент присылает:</w:t>
      </w:r>
      <w:r>
        <w:t xml:space="preserve"> </w:t>
      </w:r>
      <w:r>
        <w:t xml:space="preserve">продукт и форму выпуска, состав (текст или файл), где производит, где будет продавать, контакт.</w:t>
      </w:r>
    </w:p>
    <w:p>
      <w:pPr>
        <w:pStyle w:val="BodyText"/>
      </w:pPr>
      <w:r>
        <w:rPr>
          <w:bCs/>
          <w:b/>
        </w:rPr>
        <w:t xml:space="preserve">Клиент получает</w:t>
      </w:r>
      <w:r>
        <w:t xml:space="preserve"> </w:t>
      </w:r>
      <w:r>
        <w:t xml:space="preserve">(1 страница, в течение 2 рабочих дней [решение владельца — срок]):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СГР / декларация / ТУ — и 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Риски в составе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проверить до оплаты испытаний: компоненты, дозировки, формулировки на упаковке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Порядок шагов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состава → программа испытаний → испытания в аккредитованной лаборатории → подача → документ → маркировка → карточка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Строки: работа, испытания, экспертиза, госпошлина; ориентир «от» после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Что дальше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Регуляторный аудит или сразу регистрация; этикетка и карточка, совпадающие с документами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Наше время:</w:t>
      </w:r>
      <w:r>
        <w:t xml:space="preserve"> </w:t>
      </w:r>
      <w:r>
        <w:t xml:space="preserve">20–30 минут специалиста партнёра.</w:t>
      </w:r>
      <w:r>
        <w:t xml:space="preserve"> </w:t>
      </w:r>
      <w:r>
        <w:rPr>
          <w:bCs/>
          <w:b/>
        </w:rPr>
        <w:t xml:space="preserve">Переход:</w:t>
      </w:r>
      <w:r>
        <w:t xml:space="preserve"> </w:t>
      </w:r>
      <w:r>
        <w:t xml:space="preserve">регуляторный аудит (от 15 000 ₽) → регистрация / декларация → этикетка и карточка.</w:t>
      </w:r>
    </w:p>
    <w:p>
      <w:pPr>
        <w:pStyle w:val="BodyText"/>
      </w:pPr>
      <w:r>
        <w:rPr>
          <w:bCs/>
          <w:b/>
        </w:rPr>
        <w:t xml:space="preserve">Шаблон ответа клиенту:</w:t>
      </w:r>
    </w:p>
    <w:p>
      <w:pPr>
        <w:pStyle w:val="BlockText"/>
      </w:pPr>
      <w:r>
        <w:t xml:space="preserve">Добрый день, [имя]!</w:t>
      </w:r>
      <w:r>
        <w:t xml:space="preserve"> </w:t>
      </w:r>
      <w:r>
        <w:t xml:space="preserve">По вашему продукту «[название, форма выпуска]» подготовили карту документов.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Документ:</w:t>
      </w:r>
      <w:r>
        <w:t xml:space="preserve"> </w:t>
      </w:r>
      <w:r>
        <w:t xml:space="preserve">[СГР / декларация] — потому что [основание].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проверить до испытаний:</w:t>
      </w:r>
      <w:r>
        <w:t xml:space="preserve"> </w:t>
      </w:r>
      <w:r>
        <w:t xml:space="preserve">[1–3 пункта].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Порядок:</w:t>
      </w:r>
      <w:r>
        <w:t xml:space="preserve"> </w:t>
      </w:r>
      <w:r>
        <w:t xml:space="preserve">[шаги].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Смета:</w:t>
      </w:r>
      <w:r>
        <w:t xml:space="preserve"> </w:t>
      </w:r>
      <w:r>
        <w:t xml:space="preserve">работа — [от X ₽]; испытания — [по программе, ориентир]; экспертиза — [если нужна]; госпошлина — [по НК РФ]. Точную сумму назовём после проверки программы испытаний.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Следующий шаг:</w:t>
      </w:r>
      <w:r>
        <w:t xml:space="preserve"> </w:t>
      </w:r>
      <w:r>
        <w:t xml:space="preserve">[предложение]. Если хотите сразу сделать этикетку и карточку, которые совпадут с документами, — посчитаем вместе.</w:t>
      </w:r>
      <w:r>
        <w:t xml:space="preserve"> </w:t>
      </w:r>
      <w:r>
        <w:t xml:space="preserve">Это предварительная оценка по присланным данным; решение о регистрации принимает Роспотребнадзор.</w:t>
      </w:r>
    </w:p>
    <w:bookmarkEnd w:id="20"/>
    <w:bookmarkStart w:id="21" w:name="X3779d17f92e4c99714a4fb59d9d88a59b98783c"/>
    <w:p>
      <w:pPr>
        <w:pStyle w:val="Heading3"/>
      </w:pPr>
      <w:r>
        <w:t xml:space="preserve">2. Разбор продукта глазами покупателя — главная, форма разбора</w:t>
      </w:r>
    </w:p>
    <w:p>
      <w:pPr>
        <w:pStyle w:val="FirstParagraph"/>
      </w:pPr>
      <w:r>
        <w:t xml:space="preserve">Уже работает: сравнение с двумя аналогами, вопрос покупателя без ответа, вариант заголовка. 3 рабочих дня. Переход — пакет 29 000 ₽.</w:t>
      </w:r>
    </w:p>
    <w:bookmarkEnd w:id="21"/>
    <w:bookmarkStart w:id="22" w:name="X3aa65356f8f24826a477d6b26114a2ef03aee8c"/>
    <w:p>
      <w:pPr>
        <w:pStyle w:val="Heading3"/>
      </w:pPr>
      <w:r>
        <w:t xml:space="preserve">3. Калькулятор экономики SKU —</w:t>
      </w:r>
      <w:r>
        <w:t xml:space="preserve"> </w:t>
      </w:r>
      <w:r>
        <w:rPr>
          <w:rStyle w:val="VerbatimChar"/>
        </w:rPr>
        <w:t xml:space="preserve">kalkulyator-sku.html</w:t>
      </w:r>
    </w:p>
    <w:p>
      <w:pPr>
        <w:pStyle w:val="FirstParagraph"/>
      </w:pPr>
      <w:r>
        <w:rPr>
          <w:bCs/>
          <w:b/>
        </w:rPr>
        <w:t xml:space="preserve">Проблема клиента:</w:t>
      </w:r>
      <w:r>
        <w:t xml:space="preserve"> </w:t>
      </w:r>
      <w:r>
        <w:t xml:space="preserve">«Продажи есть, а денег нет.»</w:t>
      </w:r>
      <w:r>
        <w:t xml:space="preserve"> </w:t>
      </w:r>
      <w:r>
        <w:t xml:space="preserve">Считает на странице по цифрам клиента, без регистрации и без сохранения данных:</w:t>
      </w:r>
    </w:p>
    <w:p>
      <w:pPr>
        <w:numPr>
          <w:ilvl w:val="0"/>
          <w:numId w:val="1002"/>
        </w:numPr>
        <w:pStyle w:val="Compact"/>
      </w:pPr>
      <w:r>
        <w:t xml:space="preserve">прибыль на единицу;</w:t>
      </w:r>
    </w:p>
    <w:p>
      <w:pPr>
        <w:numPr>
          <w:ilvl w:val="0"/>
          <w:numId w:val="1002"/>
        </w:numPr>
        <w:pStyle w:val="Compact"/>
      </w:pPr>
      <w:r>
        <w:t xml:space="preserve">маржу;</w:t>
      </w:r>
    </w:p>
    <w:p>
      <w:pPr>
        <w:numPr>
          <w:ilvl w:val="0"/>
          <w:numId w:val="1002"/>
        </w:numPr>
        <w:pStyle w:val="Compact"/>
      </w:pPr>
      <w:r>
        <w:t xml:space="preserve">цену безубыточности;</w:t>
      </w:r>
    </w:p>
    <w:p>
      <w:pPr>
        <w:numPr>
          <w:ilvl w:val="0"/>
          <w:numId w:val="1002"/>
        </w:numPr>
        <w:pStyle w:val="Compact"/>
      </w:pPr>
      <w:r>
        <w:t xml:space="preserve">главную статью расходов.</w:t>
      </w:r>
    </w:p>
    <w:p>
      <w:pPr>
        <w:pStyle w:val="FirstParagraph"/>
      </w:pPr>
      <w:r>
        <w:t xml:space="preserve">Контакт клиент оставляет, если хочет разбор всех SKU по выгрузке.</w:t>
      </w:r>
      <w:r>
        <w:t xml:space="preserve"> </w:t>
      </w:r>
      <w:r>
        <w:rPr>
          <w:bCs/>
          <w:b/>
        </w:rPr>
        <w:t xml:space="preserve">Переход:</w:t>
      </w:r>
      <w:r>
        <w:t xml:space="preserve"> </w:t>
      </w:r>
      <w:r>
        <w:t xml:space="preserve">аналитика или аудит продаж.</w:t>
      </w:r>
    </w:p>
    <w:bookmarkEnd w:id="22"/>
    <w:bookmarkEnd w:id="23"/>
    <w:bookmarkStart w:id="24" w:name="вторая-волна-после-первых-3050-заявок"/>
    <w:p>
      <w:pPr>
        <w:pStyle w:val="Heading2"/>
      </w:pPr>
      <w:r>
        <w:t xml:space="preserve">Вторая волна (после первых 30–50 заявок)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Лид-магнит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для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 спроса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Продвижение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Запросы категории на маркетплейсе и в Яндексе, по которым продукт не находят, и 5 правок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SEO, подготовка продвижения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Тайный покупатель (с согласия)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сколько и как ответили по каждому каналу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продаж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Где теряется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процесса и 1–2 места для автоматизации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процесса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Регуляторный календарь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Подвал, блог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Даты изменений для БАД и косметики и что сделать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услуги</w:t>
            </w:r>
          </w:p>
        </w:tc>
      </w:tr>
    </w:tbl>
    <w:bookmarkEnd w:id="24"/>
    <w:bookmarkStart w:id="25" w:name="учёт"/>
    <w:p>
      <w:pPr>
        <w:pStyle w:val="Heading2"/>
      </w:pPr>
      <w:r>
        <w:t xml:space="preserve">Учёт</w:t>
      </w:r>
    </w:p>
    <w:p>
      <w:pPr>
        <w:pStyle w:val="FirstParagraph"/>
      </w:pPr>
      <w:r>
        <w:t xml:space="preserve">Каждая заявка получает в CRM метку магнита (</w:t>
      </w:r>
      <w:r>
        <w:rPr>
          <w:rStyle w:val="VerbatimChar"/>
        </w:rPr>
        <w:t xml:space="preserve">lm_karta</w:t>
      </w:r>
      <w:r>
        <w:t xml:space="preserve">,</w:t>
      </w:r>
      <w:r>
        <w:t xml:space="preserve"> </w:t>
      </w:r>
      <w:r>
        <w:rPr>
          <w:rStyle w:val="VerbatimChar"/>
        </w:rPr>
        <w:t xml:space="preserve">lm_razbor</w:t>
      </w:r>
      <w:r>
        <w:t xml:space="preserve">,</w:t>
      </w:r>
      <w:r>
        <w:t xml:space="preserve"> </w:t>
      </w:r>
      <w:r>
        <w:rPr>
          <w:rStyle w:val="VerbatimChar"/>
        </w:rPr>
        <w:t xml:space="preserve">lm_calc</w:t>
      </w:r>
      <w:r>
        <w:t xml:space="preserve"> </w:t>
      </w:r>
      <w:r>
        <w:t xml:space="preserve">…). Через 2–3 месяца сравниваем магниты по числу договоров, а не по числу заявок.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2026-10-26T16:32:58Z</dcterms:created>
  <dcterms:modified xsi:type="dcterms:W3CDTF">2026-10-26T16:32:58Z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