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по медицинской деятельности - 2026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r>
        <w:rPr>
          <w:rFonts w:ascii="Times New Roman" w:hAnsi="Times New Roman" w:eastAsia="Times New Roman"/>
          <w:b/>
          <w:i w:val="0"/>
          <w:sz w:val="24"/>
        </w:rPr>
        <w:t>Должность / организация: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цифровые медицинские инструменты, эндокринология, кардиология, клинические исследования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Форматы отчёта: </w:t>
      </w:r>
      <w:r>
        <w:rPr>
          <w:rFonts w:ascii="Courier New" w:hAnsi="Courier New" w:eastAsia="Times New Roman"/>
          <w:b w:val="0"/>
          <w:i w:val="0"/>
          <w:sz w:val="24"/>
        </w:rPr>
        <w:t>docs/MEDICAL_REPORT_2026.docx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(для правки в Word), </w:t>
      </w:r>
      <w:r>
        <w:rPr>
          <w:rFonts w:ascii="Courier New" w:hAnsi="Courier New" w:eastAsia="Times New Roman"/>
          <w:b w:val="0"/>
          <w:i w:val="0"/>
          <w:sz w:val="24"/>
        </w:rPr>
        <w:t>docs/MEDICAL_REPORT_2026.pdf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1. Краткое резюме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 начала 2026 года разработаны и внедрены </w:t>
      </w:r>
      <w:r>
        <w:rPr>
          <w:rFonts w:ascii="Times New Roman" w:hAnsi="Times New Roman" w:eastAsia="Times New Roman"/>
          <w:b/>
          <w:i w:val="0"/>
          <w:sz w:val="24"/>
        </w:rPr>
        <w:t>четыре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клинической практики и исследований: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Сервис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URL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 эндокринолога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https://anamnes.ikorsakov.tech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Предприёмный сбор анамнеза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http://ikorsakov.tech:7777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Прогнозирование выбора препарата при СД2 (ML)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выборки 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http://ikorsakov.tech:8080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 размера выборки в клинических испытаниях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 ФВ ЛЖ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http://ikorsakov.tech:9999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Прогнозирование фракции выброса левого желудочка</w:t>
            </w:r>
          </w:p>
        </w:tc>
      </w:tr>
    </w:tbl>
    <w:p/>
    <w:p>
      <w:pPr>
        <w:pStyle w:val="Heading2"/>
      </w:pPr>
      <w:r>
        <w:t>2. Анамнез эндокринолога</w:t>
      </w:r>
    </w:p>
    <w:p>
      <w:r>
        <w:rPr>
          <w:rFonts w:ascii="Times New Roman" w:hAnsi="Times New Roman" w:eastAsia="Times New Roman"/>
          <w:b/>
          <w:i w:val="0"/>
          <w:sz w:val="24"/>
        </w:rPr>
        <w:t>Цель: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структурированный сбор эндокринологического анамнеза до визита пациента.</w:t>
      </w:r>
    </w:p>
    <w:p>
      <w:r>
        <w:rPr>
          <w:rFonts w:ascii="Times New Roman" w:hAnsi="Times New Roman" w:eastAsia="Times New Roman"/>
          <w:b/>
          <w:i w:val="0"/>
          <w:sz w:val="24"/>
        </w:rPr>
        <w:t>Реализовано: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веб-анкета с ветвлением по 7 клиническим направлениям;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загрузка анализов, УЗИ и выписок;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кабинет врача, статусы просмотра, экспорт TXT/PDF;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персональные ссылки и Telegram-бот для пациентов;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уведомления врачу (email, Telegram);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деплой на VPS с HTTPS, резервное копирование.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эксплуатации.</w:t>
      </w:r>
    </w:p>
    <w:p>
      <w:pPr>
        <w:pStyle w:val="Heading2"/>
      </w:pPr>
      <w:r>
        <w:t>3. Калькулятор выборки для клинических испытаний</w:t>
      </w:r>
    </w:p>
    <w:p>
      <w:r>
        <w:rPr>
          <w:rFonts w:ascii="Times New Roman" w:hAnsi="Times New Roman" w:eastAsia="Times New Roman"/>
          <w:b/>
          <w:i w:val="0"/>
          <w:sz w:val="24"/>
        </w:rPr>
        <w:t>URL: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Стек: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Python, Streamlit, scipy, statsmodels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Назначение: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предварительный расчёт размера выборки при планировании клинических исследований.</w:t>
      </w:r>
    </w:p>
    <w:p>
      <w:r>
        <w:rPr>
          <w:rFonts w:ascii="Times New Roman" w:hAnsi="Times New Roman" w:eastAsia="Times New Roman"/>
          <w:b/>
          <w:i w:val="0"/>
          <w:sz w:val="24"/>
        </w:rPr>
        <w:t>Поддерживаемые дизайны: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4"/>
        </w:rPr>
        <w:t>Сравнение средних (двухвыборочный t-критерий, Cohen's d)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4"/>
        </w:rPr>
        <w:t>Сравнение долей (z-тест, Cohen's h)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4"/>
        </w:rPr>
        <w:t>Непревосходство по бинарной конечной точке (non-inferiority)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4"/>
        </w:rPr>
        <w:t>Время до события (формула Schoenfeld, log-rank)</w:t>
      </w:r>
    </w:p>
    <w:p>
      <w:r>
        <w:rPr>
          <w:rFonts w:ascii="Times New Roman" w:hAnsi="Times New Roman" w:eastAsia="Times New Roman"/>
          <w:b/>
          <w:i w:val="0"/>
          <w:sz w:val="24"/>
        </w:rPr>
        <w:t>Параметры расчёта: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уровень значимости α;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мощность (1 − β);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соотношение рандомизации;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запас на выбывание пациентов.</w:t>
      </w:r>
    </w:p>
    <w:p>
      <w:r>
        <w:rPr>
          <w:rFonts w:ascii="Times New Roman" w:hAnsi="Times New Roman" w:eastAsia="Times New Roman"/>
          <w:b/>
          <w:i w:val="0"/>
          <w:sz w:val="24"/>
        </w:rPr>
        <w:t>Результат: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размер выборки по группам (контроль / лечение), общий N, N с учётом выбывания. </w:t>
      </w:r>
      <w:r>
        <w:rPr>
          <w:rFonts w:ascii="Times New Roman" w:hAnsi="Times New Roman" w:eastAsia="Times New Roman"/>
          <w:b/>
          <w:i w:val="0"/>
          <w:sz w:val="24"/>
        </w:rPr>
        <w:t>Экспорт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ФИО исполнителя.</w:t>
      </w:r>
    </w:p>
    <w:p>
      <w:r>
        <w:rPr>
          <w:rFonts w:ascii="Times New Roman" w:hAnsi="Times New Roman" w:eastAsia="Times New Roman"/>
          <w:b/>
          <w:i w:val="0"/>
          <w:sz w:val="24"/>
        </w:rPr>
        <w:t>Ограничение: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ориентировочный расчёт; финальный размер выборки утверждается биостатистиком протокола (ICH E9, CONSORT).</w:t>
      </w:r>
    </w:p>
    <w:p>
      <w:r>
        <w:rPr>
          <w:rFonts w:ascii="Times New Roman" w:hAnsi="Times New Roman" w:eastAsia="Times New Roman"/>
          <w:b/>
          <w:i w:val="0"/>
          <w:sz w:val="24"/>
        </w:rPr>
        <w:t>Файлы: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Courier New" w:hAnsi="Courier New" w:eastAsia="Times New Roman"/>
          <w:b w:val="0"/>
          <w:i w:val="0"/>
          <w:sz w:val="24"/>
        </w:rPr>
        <w:t>trial_calculator_app.py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clinical/sample_size.py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deploy/TRIAL_CALCULATOR.md</w:t>
      </w:r>
    </w:p>
    <w:p>
      <w:pPr>
        <w:pStyle w:val="Heading2"/>
      </w:pPr>
      <w:r>
        <w:t>4. Прогнозирование фракции выброса левого желудочка (ФВ ЛЖ)</w:t>
      </w:r>
    </w:p>
    <w:p>
      <w:r>
        <w:rPr>
          <w:rFonts w:ascii="Times New Roman" w:hAnsi="Times New Roman" w:eastAsia="Times New Roman"/>
          <w:b/>
          <w:i w:val="0"/>
          <w:sz w:val="24"/>
        </w:rPr>
        <w:t>URL: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Стек: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Python, Streamlit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Назначение: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вспомогательная оценка и прогнозирование ФВ ЛЖ по данным ЭхоКГ и клиническим факторам.</w:t>
      </w:r>
    </w:p>
    <w:p>
      <w:pPr>
        <w:pStyle w:val="Heading3"/>
      </w:pPr>
      <w:r>
        <w:t>4.1. Методы расчёта по ЭхоКГ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Входные данные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Применение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Симпсон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КДО и КСО (мл)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Предпочтительный объёмный метод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Teichholz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LVIDd, LVIDs (мм)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 по линейным размерам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Фракция укорочения (FS)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LVIDd, LVIDs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Быстрая оценка у постели больного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Сравнение методов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КДО/КСО + LVIDd/LVIDs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Контроль согласованности Симпсон vs Teichholz</w:t>
            </w:r>
          </w:p>
        </w:tc>
      </w:tr>
    </w:tbl>
    <w:p/>
    <w:p>
      <w:r>
        <w:rPr>
          <w:rFonts w:ascii="Times New Roman" w:hAnsi="Times New Roman" w:eastAsia="Times New Roman"/>
          <w:b/>
          <w:i w:val="0"/>
          <w:sz w:val="24"/>
        </w:rPr>
        <w:t>Формулы: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ФВ ЛЖ (%) = (КДО − КСО) / КДО × 100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Teichholz: V = [7 / (2.4 + D)] × D³ (D в см)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FS (%) = (LVIDd − LVIDs) / LVIDd × 100</w:t>
      </w:r>
    </w:p>
    <w:p>
      <w:pPr>
        <w:pStyle w:val="Heading3"/>
      </w:pPr>
      <w:r>
        <w:t>4.2. Клинический прогноз сниженной ФВ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До выполнения ЭхоКГ рассчитывается </w:t>
      </w:r>
      <w:r>
        <w:rPr>
          <w:rFonts w:ascii="Times New Roman" w:hAnsi="Times New Roman" w:eastAsia="Times New Roman"/>
          <w:b/>
          <w:i w:val="0"/>
          <w:sz w:val="24"/>
        </w:rPr>
        <w:t>вероятность сниженной ФВ (&lt;50%)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факторам: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возраст, пол;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перенесённый ИМ;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сахарный диабет, АГ;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фибрилляция предсердий;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одышка, отёки;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длительность QRS;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NT-proBNP (при наличии).</w:t>
      </w:r>
    </w:p>
    <w:p>
      <w:r>
        <w:rPr>
          <w:rFonts w:ascii="Times New Roman" w:hAnsi="Times New Roman" w:eastAsia="Times New Roman"/>
          <w:b/>
          <w:i w:val="0"/>
          <w:sz w:val="24"/>
        </w:rPr>
        <w:t>Экспорт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доступен для всех методов расчёта.</w:t>
      </w:r>
    </w:p>
    <w:p>
      <w:pPr>
        <w:pStyle w:val="Heading3"/>
      </w:pPr>
      <w:r>
        <w:t>4.3. Категории интерпретации ФВ ЛЖ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ФВ ЛЖ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≥55%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41-54%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Незначительно снижена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30-40%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Умеренно снижена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&lt;30%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Выраженно снижена</w:t>
            </w:r>
          </w:p>
        </w:tc>
      </w:tr>
    </w:tbl>
    <w:p/>
    <w:p>
      <w:r>
        <w:rPr>
          <w:rFonts w:ascii="Times New Roman" w:hAnsi="Times New Roman" w:eastAsia="Times New Roman"/>
          <w:b/>
          <w:i w:val="0"/>
          <w:sz w:val="24"/>
        </w:rPr>
        <w:t>Ограничение: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сервис не заменяет официальное заключение ЭхоКГ; результаты требуют клинической интерпретации кардиологом.</w:t>
      </w:r>
    </w:p>
    <w:p>
      <w:r>
        <w:rPr>
          <w:rFonts w:ascii="Times New Roman" w:hAnsi="Times New Roman" w:eastAsia="Times New Roman"/>
          <w:b/>
          <w:i w:val="0"/>
          <w:sz w:val="24"/>
        </w:rPr>
        <w:t>Файлы: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Courier New" w:hAnsi="Courier New" w:eastAsia="Times New Roman"/>
          <w:b w:val="0"/>
          <w:i w:val="0"/>
          <w:sz w:val="24"/>
        </w:rPr>
        <w:t>lvef_app.py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clinical/lvef.py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deploy/LVEF.md</w:t>
      </w:r>
    </w:p>
    <w:p>
      <w:pPr>
        <w:pStyle w:val="Heading2"/>
      </w:pPr>
      <w:r>
        <w:t>5. MD Choice - прогнозирование выбора препарата при СД2</w:t>
      </w:r>
    </w:p>
    <w:p>
      <w:r>
        <w:rPr>
          <w:rFonts w:ascii="Times New Roman" w:hAnsi="Times New Roman" w:eastAsia="Times New Roman"/>
          <w:b/>
          <w:i w:val="0"/>
          <w:sz w:val="24"/>
        </w:rPr>
        <w:t>URL: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Стек: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Python, Streamlit, scikit-learn (Random Forest)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Назначение: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система поддержки принятия врачебных решений (СППВР) для выбора класса сахароснижающего препарата при сахарном диабете 2 типа на основе машинного обучения.</w:t>
      </w:r>
    </w:p>
    <w:p>
      <w:pPr>
        <w:pStyle w:val="Heading3"/>
      </w:pPr>
      <w:r>
        <w:t>5.1. Входные данные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возраст, ИМТ, HbA1c, рСКФ, длительность СД;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сердечно-сосудистые заболевания, сердечная недостаточность;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риск гипогликемии, цель снижения веса;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текущая терапия (метформин, инсулин).</w:t>
      </w:r>
    </w:p>
    <w:p>
      <w:pPr>
        <w:pStyle w:val="Heading3"/>
      </w:pPr>
      <w:r>
        <w:t>5.2. Выход модели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Ранжирование классов препаратов с вероятностями: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метформин;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иНГЛТ-2 (SGLT2);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аГПП-1 (GLP-1);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иППП-4 (DPP-4);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сульфонилмочевины;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инсулин.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Для каждого варианта - </w:t>
      </w:r>
      <w:r>
        <w:rPr>
          <w:rFonts w:ascii="Times New Roman" w:hAnsi="Times New Roman" w:eastAsia="Times New Roman"/>
          <w:b/>
          <w:i w:val="0"/>
          <w:sz w:val="24"/>
        </w:rPr>
        <w:t>клиническое обоснование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 (почки, гипогликемия), </w:t>
      </w:r>
      <w:r>
        <w:rPr>
          <w:rFonts w:ascii="Times New Roman" w:hAnsi="Times New Roman" w:eastAsia="Times New Roman"/>
          <w:b/>
          <w:i w:val="0"/>
          <w:sz w:val="24"/>
        </w:rPr>
        <w:t>экспорт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Методология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Модель </w:t>
      </w:r>
      <w:r>
        <w:rPr>
          <w:rFonts w:ascii="Times New Roman" w:hAnsi="Times New Roman" w:eastAsia="Times New Roman"/>
          <w:b/>
          <w:i w:val="0"/>
          <w:sz w:val="24"/>
        </w:rPr>
        <w:t>Random Forest</w:t>
      </w:r>
      <w:r>
        <w:rPr>
          <w:rFonts w:ascii="Times New Roman" w:hAnsi="Times New Roman" w:eastAsia="Times New Roman"/>
          <w:b w:val="0"/>
          <w:i w:val="0"/>
          <w:sz w:val="24"/>
        </w:rPr>
        <w:t>, обученная на клинически размеченном датасете профилей пациентов с СД2 с учётом современных подходов к персонализации терапии (ССЗ, ХСН, ожирение, функция почек).</w:t>
      </w:r>
    </w:p>
    <w:p>
      <w:r>
        <w:rPr>
          <w:rFonts w:ascii="Times New Roman" w:hAnsi="Times New Roman" w:eastAsia="Times New Roman"/>
          <w:b/>
          <w:i w:val="0"/>
          <w:sz w:val="24"/>
        </w:rPr>
        <w:t>Ограничение: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СППВР не заменяет клинические рекомендации и решение лечащего врача.</w:t>
      </w:r>
    </w:p>
    <w:p>
      <w:r>
        <w:rPr>
          <w:rFonts w:ascii="Times New Roman" w:hAnsi="Times New Roman" w:eastAsia="Times New Roman"/>
          <w:b/>
          <w:i w:val="0"/>
          <w:sz w:val="24"/>
        </w:rPr>
        <w:t>Файлы: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Courier New" w:hAnsi="Courier New" w:eastAsia="Times New Roman"/>
          <w:b w:val="0"/>
          <w:i w:val="0"/>
          <w:sz w:val="24"/>
        </w:rPr>
        <w:t>md_choice_app.py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clinical/md_choice.py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Courier New" w:hAnsi="Courier New" w:eastAsia="Times New Roman"/>
          <w:b w:val="0"/>
          <w:i w:val="0"/>
          <w:sz w:val="24"/>
        </w:rPr>
        <w:t>deploy/MD_CHOICE.md</w:t>
      </w:r>
    </w:p>
    <w:p>
      <w:pPr>
        <w:pStyle w:val="Heading2"/>
      </w:pPr>
      <w:r>
        <w:t>6. Общая инфраструктура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>Деплой: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VPS, systemd, Nginx, отдельные порты для каждого сервиса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>Безопасность: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HTTPS для анамнеза; для калькуляторов - внутренний Streamlit + Nginx proxy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>Документация: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README, DEPLOY.md, TRIAL_CALCULATOR.md, LVEF.md, MD_CHOICE.md</w:t>
      </w:r>
    </w:p>
    <w:p>
      <w:pPr>
        <w:pStyle w:val="Heading2"/>
      </w:pPr>
      <w:r>
        <w:t>7. Планы развития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Направление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Задача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QR-коды, красивые URL, аудит 152-ФЗ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Paired design, кластерная рандомизация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ФВ ЛЖ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ML-модель по данным ЭхоКГ, архив расчётов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Обучение на реальных клинических данных, интеграция с анамнезом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портал медицинских инструментов на ikorsakov.tech</w:t>
            </w:r>
          </w:p>
        </w:tc>
      </w:tr>
    </w:tbl>
    <w:p/>
    <w:p>
      <w:pPr>
        <w:pStyle w:val="Heading2"/>
      </w:pPr>
      <w:r>
        <w:t>8. Формулировка для служебной записки (1 абзац)</w:t>
      </w:r>
    </w:p>
    <w:p>
      <w:pPr>
        <w:ind w:left="567"/>
      </w:pPr>
      <w:r>
        <w:rPr>
          <w:rFonts w:ascii="Times New Roman" w:hAnsi="Times New Roman" w:eastAsia="Times New Roman"/>
          <w:b w:val="0"/>
          <w:i/>
          <w:sz w:val="24"/>
        </w:rPr>
        <w:t>С начала 2026 года старший научный сотрудник Корсаков И.Н. разработал и развёрнул четыре цифровых медицинских сервиса: MVP предприёмного эндокринологического анамнеза (anamnes.ikorsakov.tech); MD Choice - систему поддержки принятия врачебных решений для прогнозирования выбора препарата при СД2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Все решения документированы и готовы к пилотному использованию в клинической и исследовательской практике.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