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медицинской деятельности —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r>
        <w:rPr>
          <w:b/>
        </w:rPr>
        <w:t>Период:</w:t>
      </w:r>
      <w:r>
        <w:t xml:space="preserve"> 01.01.2026 — настоящее время</w:t>
      </w:r>
    </w:p>
    <w:p>
      <w:r>
        <w:rPr>
          <w:b/>
        </w:rPr>
        <w:t>Исполнитель:</w:t>
      </w:r>
      <w:r>
        <w:t xml:space="preserve"> Корсаков Игорь Николаевич</w:t>
      </w:r>
    </w:p>
    <w:p>
      <w:r>
        <w:rPr>
          <w:b/>
        </w:rPr>
        <w:t>Должность / организация:</w:t>
      </w:r>
      <w:r>
        <w:t xml:space="preserve"> старший научный сотрудник</w:t>
      </w:r>
    </w:p>
    <w:p>
      <w:r>
        <w:rPr>
          <w:b/>
        </w:rPr>
        <w:t>Направление:</w:t>
      </w:r>
      <w:r>
        <w:t xml:space="preserve"> цифровые медицинские инструменты, эндокринология, кардиология, клинические исследования</w:t>
      </w:r>
    </w:p>
    <w:p>
      <w:r>
        <w:t xml:space="preserve">Форматы отчёта: </w:t>
      </w:r>
      <w:r>
        <w:rPr>
          <w:rFonts w:ascii="Courier New" w:hAnsi="Courier New"/>
        </w:rPr>
        <w:t>docs/MEDICAL_REPORT_2026.docx</w:t>
      </w:r>
      <w:r>
        <w:t xml:space="preserve"> (для правки в Word), </w:t>
      </w:r>
      <w:r>
        <w:rPr>
          <w:rFonts w:ascii="Courier New" w:hAnsi="Courier New"/>
        </w:rPr>
        <w:t>docs/MEDICAL_REPORT_2026.pdf</w:t>
      </w:r>
      <w:r>
        <w:t>.</w:t>
      </w:r>
    </w:p>
    <w:p>
      <w:pPr>
        <w:pStyle w:val="Heading2"/>
      </w:pPr>
      <w:r>
        <w:t>1. Краткое резюме</w:t>
      </w:r>
    </w:p>
    <w:p>
      <w:r>
        <w:t xml:space="preserve">С начала 2026 года разработаны и внедрены </w:t>
      </w:r>
      <w:r>
        <w:rPr>
          <w:b/>
        </w:rPr>
        <w:t>четыре веб-сервиса</w:t>
      </w:r>
      <w:r>
        <w:t xml:space="preserve"> для клинической практики и исследований: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Сервис</w:t>
            </w:r>
          </w:p>
        </w:tc>
        <w:tc>
          <w:tcPr>
            <w:tcW w:type="dxa" w:w="323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r>
              <w:t>Анамнез эндокринолога</w:t>
            </w:r>
          </w:p>
        </w:tc>
        <w:tc>
          <w:tcPr>
            <w:tcW w:type="dxa" w:w="3230"/>
          </w:tcPr>
          <w:p>
            <w:r>
              <w:t>https://anamnes.ikorsakov.tech</w:t>
            </w:r>
          </w:p>
        </w:tc>
        <w:tc>
          <w:tcPr>
            <w:tcW w:type="dxa" w:w="3230"/>
          </w:tcPr>
          <w:p>
            <w:r>
              <w:t>Предприёмный сбор анамнеза</w:t>
            </w:r>
          </w:p>
        </w:tc>
      </w:tr>
      <w:tr>
        <w:tc>
          <w:tcPr>
            <w:tcW w:type="dxa" w:w="3230"/>
          </w:tcPr>
          <w:p>
            <w:r>
              <w:t>MD Choice</w:t>
            </w:r>
          </w:p>
        </w:tc>
        <w:tc>
          <w:tcPr>
            <w:tcW w:type="dxa" w:w="3230"/>
          </w:tcPr>
          <w:p>
            <w:r>
              <w:t>http://ikorsakov.tech:7777</w:t>
            </w:r>
          </w:p>
        </w:tc>
        <w:tc>
          <w:tcPr>
            <w:tcW w:type="dxa" w:w="3230"/>
          </w:tcPr>
          <w:p>
            <w:r>
              <w:t>Прогнозирование выбора препарата при СД2 (ML)</w:t>
            </w:r>
          </w:p>
        </w:tc>
      </w:tr>
      <w:tr>
        <w:tc>
          <w:tcPr>
            <w:tcW w:type="dxa" w:w="3230"/>
          </w:tcPr>
          <w:p>
            <w:r>
              <w:t>Калькулятор выборки КИ</w:t>
            </w:r>
          </w:p>
        </w:tc>
        <w:tc>
          <w:tcPr>
            <w:tcW w:type="dxa" w:w="3230"/>
          </w:tcPr>
          <w:p>
            <w:r>
              <w:t>http://ikorsakov.tech:8080</w:t>
            </w:r>
          </w:p>
        </w:tc>
        <w:tc>
          <w:tcPr>
            <w:tcW w:type="dxa" w:w="3230"/>
          </w:tcPr>
          <w:p>
            <w:r>
              <w:t>Расчёт размера выборки в клинических испытаниях</w:t>
            </w:r>
          </w:p>
        </w:tc>
      </w:tr>
      <w:tr>
        <w:tc>
          <w:tcPr>
            <w:tcW w:type="dxa" w:w="3230"/>
          </w:tcPr>
          <w:p>
            <w:r>
              <w:t>Прогноз ФВ ЛЖ</w:t>
            </w:r>
          </w:p>
        </w:tc>
        <w:tc>
          <w:tcPr>
            <w:tcW w:type="dxa" w:w="3230"/>
          </w:tcPr>
          <w:p>
            <w:r>
              <w:t>http://ikorsakov.tech:9999</w:t>
            </w:r>
          </w:p>
        </w:tc>
        <w:tc>
          <w:tcPr>
            <w:tcW w:type="dxa" w:w="3230"/>
          </w:tcPr>
          <w:p>
            <w:r>
              <w:t>Прогнозирование фракции выброса левого желудочка</w:t>
            </w:r>
          </w:p>
        </w:tc>
      </w:tr>
    </w:tbl>
    <w:p/>
    <w:p>
      <w:pPr>
        <w:pStyle w:val="Heading2"/>
      </w:pPr>
      <w:r>
        <w:t>2. Анамнез эндокринолога</w:t>
      </w:r>
    </w:p>
    <w:p>
      <w:r>
        <w:rPr>
          <w:b/>
        </w:rPr>
        <w:t>Цель:</w:t>
      </w:r>
      <w:r>
        <w:t xml:space="preserve"> структурированный сбор эндокринологического анамнеза до визита пациента.</w:t>
      </w:r>
    </w:p>
    <w:p>
      <w:r>
        <w:rPr>
          <w:b/>
        </w:rPr>
        <w:t>Реализовано:</w:t>
      </w:r>
    </w:p>
    <w:p>
      <w:pPr>
        <w:pStyle w:val="ListBullet"/>
      </w:pPr>
      <w:r>
        <w:t>веб-анкета с ветвлением по 7 клиническим направлениям;</w:t>
      </w:r>
    </w:p>
    <w:p>
      <w:pPr>
        <w:pStyle w:val="ListBullet"/>
      </w:pPr>
      <w:r>
        <w:t>загрузка анализов, УЗИ и выписок;</w:t>
      </w:r>
    </w:p>
    <w:p>
      <w:pPr>
        <w:pStyle w:val="ListBullet"/>
      </w:pPr>
      <w:r>
        <w:t>кабинет врача, статусы просмотра, экспорт TXT/PDF;</w:t>
      </w:r>
    </w:p>
    <w:p>
      <w:pPr>
        <w:pStyle w:val="ListBullet"/>
      </w:pPr>
      <w:r>
        <w:t>персональные ссылки и Telegram-бот для пациентов;</w:t>
      </w:r>
    </w:p>
    <w:p>
      <w:pPr>
        <w:pStyle w:val="ListBullet"/>
      </w:pPr>
      <w:r>
        <w:t>уведомления врачу (email, Telegram);</w:t>
      </w:r>
    </w:p>
    <w:p>
      <w:pPr>
        <w:pStyle w:val="ListBullet"/>
      </w:pPr>
      <w:r>
        <w:t>деплой на VPS с HTTPS, резервное копирование.</w:t>
      </w:r>
    </w:p>
    <w:p>
      <w:r>
        <w:rPr>
          <w:b/>
        </w:rPr>
        <w:t>Статус:</w:t>
      </w:r>
      <w:r>
        <w:t xml:space="preserve"> MVP в тестовой эксплуатации.</w:t>
      </w:r>
    </w:p>
    <w:p>
      <w:pPr>
        <w:pStyle w:val="Heading2"/>
      </w:pPr>
      <w:r>
        <w:t>3. Калькулятор выборки для клинических испытаний</w:t>
      </w:r>
    </w:p>
    <w:p>
      <w:r>
        <w:rPr>
          <w:b/>
        </w:rPr>
        <w:t>URL:</w:t>
      </w:r>
      <w:r>
        <w:t xml:space="preserve"> http://ikorsakov.tech:8080/</w:t>
      </w:r>
    </w:p>
    <w:p>
      <w:r>
        <w:rPr>
          <w:b/>
        </w:rPr>
        <w:t>Стек:</w:t>
      </w:r>
      <w:r>
        <w:t xml:space="preserve"> Python, Streamlit, scipy, statsmodels</w:t>
      </w:r>
    </w:p>
    <w:p>
      <w:r>
        <w:rPr>
          <w:b/>
        </w:rPr>
        <w:t>Назначение:</w:t>
      </w:r>
      <w:r>
        <w:t xml:space="preserve"> предварительный расчёт размера выборки при планировании клинических исследований.</w:t>
      </w:r>
    </w:p>
    <w:p>
      <w:r>
        <w:rPr>
          <w:b/>
        </w:rPr>
        <w:t>Поддерживаемые дизайны:</w:t>
      </w:r>
    </w:p>
    <w:p>
      <w:pPr>
        <w:pStyle w:val="ListNumber"/>
      </w:pPr>
      <w:r>
        <w:t>Сравнение средних (двухвыборочный t-критерий, Cohen's d)</w:t>
      </w:r>
    </w:p>
    <w:p>
      <w:pPr>
        <w:pStyle w:val="ListNumber"/>
      </w:pPr>
      <w:r>
        <w:t>Сравнение долей (z-тест, Cohen's h)</w:t>
      </w:r>
    </w:p>
    <w:p>
      <w:pPr>
        <w:pStyle w:val="ListNumber"/>
      </w:pPr>
      <w:r>
        <w:t>Непревосходство по бинарной конечной точке (non-inferiority)</w:t>
      </w:r>
    </w:p>
    <w:p>
      <w:pPr>
        <w:pStyle w:val="ListNumber"/>
      </w:pPr>
      <w:r>
        <w:t>Время до события (формула Schoenfeld, log-rank)</w:t>
      </w:r>
    </w:p>
    <w:p>
      <w:r>
        <w:rPr>
          <w:b/>
        </w:rPr>
        <w:t>Параметры расчёта:</w:t>
      </w:r>
    </w:p>
    <w:p>
      <w:pPr>
        <w:pStyle w:val="ListBullet"/>
      </w:pPr>
      <w:r>
        <w:t>уровень значимости α;</w:t>
      </w:r>
    </w:p>
    <w:p>
      <w:pPr>
        <w:pStyle w:val="ListBullet"/>
      </w:pPr>
      <w:r>
        <w:t>мощность (1 − β);</w:t>
      </w:r>
    </w:p>
    <w:p>
      <w:pPr>
        <w:pStyle w:val="ListBullet"/>
      </w:pPr>
      <w:r>
        <w:t>соотношение рандомизации;</w:t>
      </w:r>
    </w:p>
    <w:p>
      <w:pPr>
        <w:pStyle w:val="ListBullet"/>
      </w:pPr>
      <w:r>
        <w:t>запас на выбывание пациентов.</w:t>
      </w:r>
    </w:p>
    <w:p>
      <w:r>
        <w:rPr>
          <w:b/>
        </w:rPr>
        <w:t>Результат:</w:t>
      </w:r>
      <w:r>
        <w:t xml:space="preserve"> размер выборки по группам (контроль / лечение), общий N, N с учётом выбывания. </w:t>
      </w:r>
      <w:r>
        <w:rPr>
          <w:b/>
        </w:rPr>
        <w:t>Экспорт PDF</w:t>
      </w:r>
      <w:r>
        <w:t xml:space="preserve"> с указанием ФИО исполнителя.</w:t>
      </w:r>
    </w:p>
    <w:p>
      <w:r>
        <w:rPr>
          <w:b/>
        </w:rPr>
        <w:t>Ограничение:</w:t>
      </w:r>
      <w:r>
        <w:t xml:space="preserve"> ориентировочный расчёт; финальный размер выборки утверждается биостатистиком протокола (ICH E9, CONSORT).</w:t>
      </w:r>
    </w:p>
    <w:p>
      <w:r>
        <w:rPr>
          <w:b/>
        </w:rPr>
        <w:t>Файлы:</w:t>
      </w:r>
      <w:r>
        <w:t xml:space="preserve"> </w:t>
      </w:r>
      <w:r>
        <w:rPr>
          <w:rFonts w:ascii="Courier New" w:hAnsi="Courier New"/>
        </w:rPr>
        <w:t>trial_calculator_app.py</w:t>
      </w:r>
      <w:r>
        <w:t xml:space="preserve">, </w:t>
      </w:r>
      <w:r>
        <w:rPr>
          <w:rFonts w:ascii="Courier New" w:hAnsi="Courier New"/>
        </w:rPr>
        <w:t>clinical/sample_size.py</w:t>
      </w:r>
      <w:r>
        <w:t xml:space="preserve">, </w:t>
      </w:r>
      <w:r>
        <w:rPr>
          <w:rFonts w:ascii="Courier New" w:hAnsi="Courier New"/>
        </w:rPr>
        <w:t>deploy/TRIAL_CALCULATOR.md</w:t>
      </w:r>
    </w:p>
    <w:p>
      <w:pPr>
        <w:pStyle w:val="Heading2"/>
      </w:pPr>
      <w:r>
        <w:t>4. Прогнозирование фракции выброса левого желудочка (ФВ ЛЖ)</w:t>
      </w:r>
    </w:p>
    <w:p>
      <w:r>
        <w:rPr>
          <w:b/>
        </w:rPr>
        <w:t>URL:</w:t>
      </w:r>
      <w:r>
        <w:t xml:space="preserve"> http://ikorsakov.tech:9999/</w:t>
      </w:r>
    </w:p>
    <w:p>
      <w:r>
        <w:rPr>
          <w:b/>
        </w:rPr>
        <w:t>Стек:</w:t>
      </w:r>
      <w:r>
        <w:t xml:space="preserve"> Python, Streamlit</w:t>
      </w:r>
    </w:p>
    <w:p>
      <w:r>
        <w:rPr>
          <w:b/>
        </w:rPr>
        <w:t>Назначение:</w:t>
      </w:r>
      <w:r>
        <w:t xml:space="preserve"> вспомогательная оценка и прогнозирование ФВ ЛЖ по данным ЭхоКГ и клиническим факторам.</w:t>
      </w:r>
    </w:p>
    <w:p>
      <w:pPr>
        <w:pStyle w:val="Heading3"/>
      </w:pPr>
      <w:r>
        <w:t>4.1. Методы расчёта по ЭхоКГ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Входные данные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Применение</w:t>
            </w:r>
          </w:p>
        </w:tc>
      </w:tr>
      <w:tr>
        <w:tc>
          <w:tcPr>
            <w:tcW w:type="dxa" w:w="3230"/>
          </w:tcPr>
          <w:p>
            <w:r>
              <w:t>Симпсон</w:t>
            </w:r>
          </w:p>
        </w:tc>
        <w:tc>
          <w:tcPr>
            <w:tcW w:type="dxa" w:w="3230"/>
          </w:tcPr>
          <w:p>
            <w:r>
              <w:t>КДО и КСО (мл)</w:t>
            </w:r>
          </w:p>
        </w:tc>
        <w:tc>
          <w:tcPr>
            <w:tcW w:type="dxa" w:w="3230"/>
          </w:tcPr>
          <w:p>
            <w:r>
              <w:t>Предпочтительный объёмный метод</w:t>
            </w:r>
          </w:p>
        </w:tc>
      </w:tr>
      <w:tr>
        <w:tc>
          <w:tcPr>
            <w:tcW w:type="dxa" w:w="3230"/>
          </w:tcPr>
          <w:p>
            <w:r>
              <w:t>Teichholz</w:t>
            </w:r>
          </w:p>
        </w:tc>
        <w:tc>
          <w:tcPr>
            <w:tcW w:type="dxa" w:w="3230"/>
          </w:tcPr>
          <w:p>
            <w:r>
              <w:t>LVIDd, LVIDs (мм)</w:t>
            </w:r>
          </w:p>
        </w:tc>
        <w:tc>
          <w:tcPr>
            <w:tcW w:type="dxa" w:w="3230"/>
          </w:tcPr>
          <w:p>
            <w:r>
              <w:t>Оценка по линейным размерам</w:t>
            </w:r>
          </w:p>
        </w:tc>
      </w:tr>
      <w:tr>
        <w:tc>
          <w:tcPr>
            <w:tcW w:type="dxa" w:w="3230"/>
          </w:tcPr>
          <w:p>
            <w:r>
              <w:t>Фракция укорочения (FS)</w:t>
            </w:r>
          </w:p>
        </w:tc>
        <w:tc>
          <w:tcPr>
            <w:tcW w:type="dxa" w:w="3230"/>
          </w:tcPr>
          <w:p>
            <w:r>
              <w:t>LVIDd, LVIDs</w:t>
            </w:r>
          </w:p>
        </w:tc>
        <w:tc>
          <w:tcPr>
            <w:tcW w:type="dxa" w:w="3230"/>
          </w:tcPr>
          <w:p>
            <w:r>
              <w:t>Быстрая оценка у постели больного</w:t>
            </w:r>
          </w:p>
        </w:tc>
      </w:tr>
      <w:tr>
        <w:tc>
          <w:tcPr>
            <w:tcW w:type="dxa" w:w="3230"/>
          </w:tcPr>
          <w:p>
            <w:r>
              <w:t>Сравнение методов</w:t>
            </w:r>
          </w:p>
        </w:tc>
        <w:tc>
          <w:tcPr>
            <w:tcW w:type="dxa" w:w="3230"/>
          </w:tcPr>
          <w:p>
            <w:r>
              <w:t>КДО/КСО + LVIDd/LVIDs</w:t>
            </w:r>
          </w:p>
        </w:tc>
        <w:tc>
          <w:tcPr>
            <w:tcW w:type="dxa" w:w="3230"/>
          </w:tcPr>
          <w:p>
            <w:r>
              <w:t>Контроль согласованности Симпсон vs Teichholz</w:t>
            </w:r>
          </w:p>
        </w:tc>
      </w:tr>
    </w:tbl>
    <w:p/>
    <w:p>
      <w:r>
        <w:rPr>
          <w:b/>
        </w:rPr>
        <w:t>Формулы:</w:t>
      </w:r>
    </w:p>
    <w:p>
      <w:pPr>
        <w:pStyle w:val="ListBullet"/>
      </w:pPr>
      <w:r>
        <w:t>ФВ ЛЖ (%) = (КДО − КСО) / КДО × 100</w:t>
      </w:r>
    </w:p>
    <w:p>
      <w:pPr>
        <w:pStyle w:val="ListBullet"/>
      </w:pPr>
      <w:r>
        <w:t>Teichholz: V = [7 / (2.4 + D)] × D³ (D в см)</w:t>
      </w:r>
    </w:p>
    <w:p>
      <w:pPr>
        <w:pStyle w:val="ListBullet"/>
      </w:pPr>
      <w:r>
        <w:t>FS (%) = (LVIDd − LVIDs) / LVIDd × 100</w:t>
      </w:r>
    </w:p>
    <w:p>
      <w:pPr>
        <w:pStyle w:val="Heading3"/>
      </w:pPr>
      <w:r>
        <w:t>4.2. Клинический прогноз сниженной ФВ</w:t>
      </w:r>
    </w:p>
    <w:p>
      <w:r>
        <w:t xml:space="preserve">До выполнения ЭхоКГ рассчитывается </w:t>
      </w:r>
      <w:r>
        <w:rPr>
          <w:b/>
        </w:rPr>
        <w:t>вероятность сниженной ФВ (&lt;50%)</w:t>
      </w:r>
      <w:r>
        <w:t xml:space="preserve"> по факторам:</w:t>
      </w:r>
    </w:p>
    <w:p>
      <w:pPr>
        <w:pStyle w:val="ListBullet"/>
      </w:pPr>
      <w:r>
        <w:t>возраст, пол;</w:t>
      </w:r>
    </w:p>
    <w:p>
      <w:pPr>
        <w:pStyle w:val="ListBullet"/>
      </w:pPr>
      <w:r>
        <w:t>перенесённый ИМ;</w:t>
      </w:r>
    </w:p>
    <w:p>
      <w:pPr>
        <w:pStyle w:val="ListBullet"/>
      </w:pPr>
      <w:r>
        <w:t>сахарный диабет, АГ;</w:t>
      </w:r>
    </w:p>
    <w:p>
      <w:pPr>
        <w:pStyle w:val="ListBullet"/>
      </w:pPr>
      <w:r>
        <w:t>фибрилляция предсердий;</w:t>
      </w:r>
    </w:p>
    <w:p>
      <w:pPr>
        <w:pStyle w:val="ListBullet"/>
      </w:pPr>
      <w:r>
        <w:t>одышка, отёки;</w:t>
      </w:r>
    </w:p>
    <w:p>
      <w:pPr>
        <w:pStyle w:val="ListBullet"/>
      </w:pPr>
      <w:r>
        <w:t>длительность QRS;</w:t>
      </w:r>
    </w:p>
    <w:p>
      <w:pPr>
        <w:pStyle w:val="ListBullet"/>
      </w:pPr>
      <w:r>
        <w:t>NT-proBNP (при наличии).</w:t>
      </w:r>
    </w:p>
    <w:p>
      <w:r>
        <w:rPr>
          <w:b/>
        </w:rPr>
        <w:t>Экспорт PDF</w:t>
      </w:r>
      <w:r>
        <w:t xml:space="preserve"> доступен для всех методов расчёта.</w:t>
      </w:r>
    </w:p>
    <w:p>
      <w:pPr>
        <w:pStyle w:val="Heading3"/>
      </w:pPr>
      <w:r>
        <w:t>4.3. Категории интерпретации ФВ ЛЖ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ФВ ЛЖ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Категория</w:t>
            </w:r>
          </w:p>
        </w:tc>
      </w:tr>
      <w:tr>
        <w:tc>
          <w:tcPr>
            <w:tcW w:type="dxa" w:w="4844"/>
          </w:tcPr>
          <w:p>
            <w:r>
              <w:t>≥55%</w:t>
            </w:r>
          </w:p>
        </w:tc>
        <w:tc>
          <w:tcPr>
            <w:tcW w:type="dxa" w:w="4844"/>
          </w:tcPr>
          <w:p>
            <w:r>
              <w:t>Норма</w:t>
            </w:r>
          </w:p>
        </w:tc>
      </w:tr>
      <w:tr>
        <w:tc>
          <w:tcPr>
            <w:tcW w:type="dxa" w:w="4844"/>
          </w:tcPr>
          <w:p>
            <w:r>
              <w:t>41–54%</w:t>
            </w:r>
          </w:p>
        </w:tc>
        <w:tc>
          <w:tcPr>
            <w:tcW w:type="dxa" w:w="4844"/>
          </w:tcPr>
          <w:p>
            <w:r>
              <w:t>Незначительно снижена</w:t>
            </w:r>
          </w:p>
        </w:tc>
      </w:tr>
      <w:tr>
        <w:tc>
          <w:tcPr>
            <w:tcW w:type="dxa" w:w="4844"/>
          </w:tcPr>
          <w:p>
            <w:r>
              <w:t>30–40%</w:t>
            </w:r>
          </w:p>
        </w:tc>
        <w:tc>
          <w:tcPr>
            <w:tcW w:type="dxa" w:w="4844"/>
          </w:tcPr>
          <w:p>
            <w:r>
              <w:t>Умеренно снижена</w:t>
            </w:r>
          </w:p>
        </w:tc>
      </w:tr>
      <w:tr>
        <w:tc>
          <w:tcPr>
            <w:tcW w:type="dxa" w:w="4844"/>
          </w:tcPr>
          <w:p>
            <w:r>
              <w:t>&lt;30%</w:t>
            </w:r>
          </w:p>
        </w:tc>
        <w:tc>
          <w:tcPr>
            <w:tcW w:type="dxa" w:w="4844"/>
          </w:tcPr>
          <w:p>
            <w:r>
              <w:t>Выраженно снижена</w:t>
            </w:r>
          </w:p>
        </w:tc>
      </w:tr>
    </w:tbl>
    <w:p/>
    <w:p>
      <w:r>
        <w:rPr>
          <w:b/>
        </w:rPr>
        <w:t>Ограничение:</w:t>
      </w:r>
      <w:r>
        <w:t xml:space="preserve"> сервис не заменяет официальное заключение ЭхоКГ; результаты требуют клинической интерпретации кардиологом.</w:t>
      </w:r>
    </w:p>
    <w:p>
      <w:r>
        <w:rPr>
          <w:b/>
        </w:rPr>
        <w:t>Файлы:</w:t>
      </w:r>
      <w:r>
        <w:t xml:space="preserve"> </w:t>
      </w:r>
      <w:r>
        <w:rPr>
          <w:rFonts w:ascii="Courier New" w:hAnsi="Courier New"/>
        </w:rPr>
        <w:t>lvef_app.py</w:t>
      </w:r>
      <w:r>
        <w:t xml:space="preserve">, </w:t>
      </w:r>
      <w:r>
        <w:rPr>
          <w:rFonts w:ascii="Courier New" w:hAnsi="Courier New"/>
        </w:rPr>
        <w:t>clinical/lvef.py</w:t>
      </w:r>
      <w:r>
        <w:t xml:space="preserve">, </w:t>
      </w:r>
      <w:r>
        <w:rPr>
          <w:rFonts w:ascii="Courier New" w:hAnsi="Courier New"/>
        </w:rPr>
        <w:t>deploy/LVEF.md</w:t>
      </w:r>
    </w:p>
    <w:p>
      <w:pPr>
        <w:pStyle w:val="Heading2"/>
      </w:pPr>
      <w:r>
        <w:t>5. MD Choice — прогнозирование выбора препарата при СД2</w:t>
      </w:r>
    </w:p>
    <w:p>
      <w:r>
        <w:rPr>
          <w:b/>
        </w:rPr>
        <w:t>URL:</w:t>
      </w:r>
      <w:r>
        <w:t xml:space="preserve"> http://ikorsakov.tech:7777/</w:t>
      </w:r>
    </w:p>
    <w:p>
      <w:r>
        <w:rPr>
          <w:b/>
        </w:rPr>
        <w:t>Стек:</w:t>
      </w:r>
      <w:r>
        <w:t xml:space="preserve"> Python, Streamlit, scikit-learn (Random Forest)</w:t>
      </w:r>
    </w:p>
    <w:p>
      <w:r>
        <w:rPr>
          <w:b/>
        </w:rPr>
        <w:t>Назначение:</w:t>
      </w:r>
      <w:r>
        <w:t xml:space="preserve"> система поддержки принятия врачебных решений (СППВР) для выбора класса сахароснижающего препарата при сахарном диабете 2 типа на основе машинного обучения.</w:t>
      </w:r>
    </w:p>
    <w:p>
      <w:pPr>
        <w:pStyle w:val="Heading3"/>
      </w:pPr>
      <w:r>
        <w:t>5.1. Входные данные</w:t>
      </w:r>
    </w:p>
    <w:p>
      <w:pPr>
        <w:pStyle w:val="ListBullet"/>
      </w:pPr>
      <w:r>
        <w:t>возраст, ИМТ, HbA1c, рСКФ, длительность СД;</w:t>
      </w:r>
    </w:p>
    <w:p>
      <w:pPr>
        <w:pStyle w:val="ListBullet"/>
      </w:pPr>
      <w:r>
        <w:t>сердечно-сосудистые заболевания, сердечная недостаточность;</w:t>
      </w:r>
    </w:p>
    <w:p>
      <w:pPr>
        <w:pStyle w:val="ListBullet"/>
      </w:pPr>
      <w:r>
        <w:t>риск гипогликемии, цель снижения веса;</w:t>
      </w:r>
    </w:p>
    <w:p>
      <w:pPr>
        <w:pStyle w:val="ListBullet"/>
      </w:pPr>
      <w:r>
        <w:t>текущая терапия (метформин, инсулин).</w:t>
      </w:r>
    </w:p>
    <w:p>
      <w:pPr>
        <w:pStyle w:val="Heading3"/>
      </w:pPr>
      <w:r>
        <w:t>5.2. Выход модели</w:t>
      </w:r>
    </w:p>
    <w:p>
      <w:r>
        <w:t>Ранжирование классов препаратов с вероятностями:</w:t>
      </w:r>
    </w:p>
    <w:p>
      <w:pPr>
        <w:pStyle w:val="ListBullet"/>
      </w:pPr>
      <w:r>
        <w:t>метформин;</w:t>
      </w:r>
    </w:p>
    <w:p>
      <w:pPr>
        <w:pStyle w:val="ListBullet"/>
      </w:pPr>
      <w:r>
        <w:t>иНГЛТ-2 (SGLT2);</w:t>
      </w:r>
    </w:p>
    <w:p>
      <w:pPr>
        <w:pStyle w:val="ListBullet"/>
      </w:pPr>
      <w:r>
        <w:t>аГПП-1 (GLP-1);</w:t>
      </w:r>
    </w:p>
    <w:p>
      <w:pPr>
        <w:pStyle w:val="ListBullet"/>
      </w:pPr>
      <w:r>
        <w:t>иППП-4 (DPP-4);</w:t>
      </w:r>
    </w:p>
    <w:p>
      <w:pPr>
        <w:pStyle w:val="ListBullet"/>
      </w:pPr>
      <w:r>
        <w:t>сульфонилмочевины;</w:t>
      </w:r>
    </w:p>
    <w:p>
      <w:pPr>
        <w:pStyle w:val="ListBullet"/>
      </w:pPr>
      <w:r>
        <w:t>инсулин.</w:t>
      </w:r>
    </w:p>
    <w:p>
      <w:r>
        <w:t xml:space="preserve">Для каждого варианта — </w:t>
      </w:r>
      <w:r>
        <w:rPr>
          <w:b/>
        </w:rPr>
        <w:t>клиническое обоснование</w:t>
      </w:r>
      <w:r>
        <w:t xml:space="preserve">, предупреждения (почки, гипогликемия), </w:t>
      </w:r>
      <w:r>
        <w:rPr>
          <w:b/>
        </w:rPr>
        <w:t>экспорт PDF</w:t>
      </w:r>
      <w:r>
        <w:t>.</w:t>
      </w:r>
    </w:p>
    <w:p>
      <w:pPr>
        <w:pStyle w:val="Heading3"/>
      </w:pPr>
      <w:r>
        <w:t>5.3. Методология</w:t>
      </w:r>
    </w:p>
    <w:p>
      <w:r>
        <w:t xml:space="preserve">Модель </w:t>
      </w:r>
      <w:r>
        <w:rPr>
          <w:b/>
        </w:rPr>
        <w:t>Random Forest</w:t>
      </w:r>
      <w:r>
        <w:t>, обученная на клинически размеченном датасете профилей пациентов с СД2 с учётом современных подходов к персонализации терапии (ССЗ, ХСН, ожирение, функция почек).</w:t>
      </w:r>
    </w:p>
    <w:p>
      <w:r>
        <w:rPr>
          <w:b/>
        </w:rPr>
        <w:t>Ограничение:</w:t>
      </w:r>
      <w:r>
        <w:t xml:space="preserve"> СППВР не заменяет клинические рекомендации и решение лечащего врача.</w:t>
      </w:r>
    </w:p>
    <w:p>
      <w:r>
        <w:rPr>
          <w:b/>
        </w:rPr>
        <w:t>Файлы:</w:t>
      </w:r>
      <w:r>
        <w:t xml:space="preserve"> </w:t>
      </w:r>
      <w:r>
        <w:rPr>
          <w:rFonts w:ascii="Courier New" w:hAnsi="Courier New"/>
        </w:rPr>
        <w:t>md_choice_app.py</w:t>
      </w:r>
      <w:r>
        <w:t xml:space="preserve">, </w:t>
      </w:r>
      <w:r>
        <w:rPr>
          <w:rFonts w:ascii="Courier New" w:hAnsi="Courier New"/>
        </w:rPr>
        <w:t>clinical/md_choice.py</w:t>
      </w:r>
      <w:r>
        <w:t xml:space="preserve">, </w:t>
      </w:r>
      <w:r>
        <w:rPr>
          <w:rFonts w:ascii="Courier New" w:hAnsi="Courier New"/>
        </w:rPr>
        <w:t>deploy/MD_CHOICE.md</w:t>
      </w:r>
    </w:p>
    <w:p>
      <w:pPr>
        <w:pStyle w:val="Heading2"/>
      </w:pPr>
      <w:r>
        <w:t>6. Общая инфраструктура</w:t>
      </w:r>
    </w:p>
    <w:p>
      <w:pPr>
        <w:pStyle w:val="ListBullet"/>
      </w:pPr>
      <w:r>
        <w:rPr>
          <w:b/>
        </w:rPr>
        <w:t>Деплой:</w:t>
      </w:r>
      <w:r>
        <w:t xml:space="preserve"> VPS, systemd, Nginx, отдельные порты для каждого сервиса</w:t>
      </w:r>
    </w:p>
    <w:p>
      <w:pPr>
        <w:pStyle w:val="ListBullet"/>
      </w:pPr>
      <w:r>
        <w:rPr>
          <w:b/>
        </w:rPr>
        <w:t>Безопасность:</w:t>
      </w:r>
      <w:r>
        <w:t xml:space="preserve"> HTTPS для анамнеза; для калькуляторов — внутренний Streamlit + Nginx proxy</w:t>
      </w:r>
    </w:p>
    <w:p>
      <w:pPr>
        <w:pStyle w:val="ListBullet"/>
      </w:pPr>
      <w:r>
        <w:rPr>
          <w:b/>
        </w:rPr>
        <w:t>Документация:</w:t>
      </w:r>
      <w:r>
        <w:t xml:space="preserve"> README, DEPLOY.md, TRIAL_CALCULATOR.md, LVEF.md, MD_CHOICE.md</w:t>
      </w:r>
    </w:p>
    <w:p>
      <w:pPr>
        <w:pStyle w:val="Heading2"/>
      </w:pPr>
      <w:r>
        <w:t>7. Планы развития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Направление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Задача</w:t>
            </w:r>
          </w:p>
        </w:tc>
      </w:tr>
      <w:tr>
        <w:tc>
          <w:tcPr>
            <w:tcW w:type="dxa" w:w="4844"/>
          </w:tcPr>
          <w:p>
            <w:r>
              <w:t>Анамнез</w:t>
            </w:r>
          </w:p>
        </w:tc>
        <w:tc>
          <w:tcPr>
            <w:tcW w:type="dxa" w:w="4844"/>
          </w:tcPr>
          <w:p>
            <w:r>
              <w:t>QR-коды, красивые URL, аудит 152-ФЗ</w:t>
            </w:r>
          </w:p>
        </w:tc>
      </w:tr>
      <w:tr>
        <w:tc>
          <w:tcPr>
            <w:tcW w:type="dxa" w:w="4844"/>
          </w:tcPr>
          <w:p>
            <w:r>
              <w:t>Калькулятор КИ</w:t>
            </w:r>
          </w:p>
        </w:tc>
        <w:tc>
          <w:tcPr>
            <w:tcW w:type="dxa" w:w="4844"/>
          </w:tcPr>
          <w:p>
            <w:r>
              <w:t>Paired design, кластерная рандомизация</w:t>
            </w:r>
          </w:p>
        </w:tc>
      </w:tr>
      <w:tr>
        <w:tc>
          <w:tcPr>
            <w:tcW w:type="dxa" w:w="4844"/>
          </w:tcPr>
          <w:p>
            <w:r>
              <w:t>ФВ ЛЖ</w:t>
            </w:r>
          </w:p>
        </w:tc>
        <w:tc>
          <w:tcPr>
            <w:tcW w:type="dxa" w:w="4844"/>
          </w:tcPr>
          <w:p>
            <w:r>
              <w:t>ML-модель по данным ЭхоКГ, архив расчётов</w:t>
            </w:r>
          </w:p>
        </w:tc>
      </w:tr>
      <w:tr>
        <w:tc>
          <w:tcPr>
            <w:tcW w:type="dxa" w:w="4844"/>
          </w:tcPr>
          <w:p>
            <w:r>
              <w:t>MD Choice</w:t>
            </w:r>
          </w:p>
        </w:tc>
        <w:tc>
          <w:tcPr>
            <w:tcW w:type="dxa" w:w="4844"/>
          </w:tcPr>
          <w:p>
            <w:r>
              <w:t>Обучение на реальных клинических данных, интеграция с анамнезом</w:t>
            </w:r>
          </w:p>
        </w:tc>
      </w:tr>
      <w:tr>
        <w:tc>
          <w:tcPr>
            <w:tcW w:type="dxa" w:w="4844"/>
          </w:tcPr>
          <w:p>
            <w:r>
              <w:t>Общее</w:t>
            </w:r>
          </w:p>
        </w:tc>
        <w:tc>
          <w:tcPr>
            <w:tcW w:type="dxa" w:w="4844"/>
          </w:tcPr>
          <w:p>
            <w:r>
              <w:t>Единый портал медицинских инструментов на ikorsakov.tech</w:t>
            </w:r>
          </w:p>
        </w:tc>
      </w:tr>
    </w:tbl>
    <w:p/>
    <w:p>
      <w:pPr>
        <w:pStyle w:val="Heading2"/>
      </w:pPr>
      <w:r>
        <w:t>8. Формулировка для служебной записки (1 абзац)</w:t>
      </w:r>
    </w:p>
    <w:p>
      <w:pPr>
        <w:ind w:left="567"/>
      </w:pPr>
      <w:r>
        <w:rPr>
          <w:i/>
          <w:color w:val="333333"/>
        </w:rPr>
        <w:t>С начала 2026 года старший научный сотрудник Корсаков И.Н. разработал и развёрнул четыре цифровых медицинских сервиса: MVP предприёмного эндокринологического анамнеза (anamnes.ikorsakov.tech); MD Choice — систему поддержки принятия врачебных решений для прогнозирования выбора препарата при СД2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Все решения документированы и готовы к пилотному использованию в клинической и исследовательской практике.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