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145A32"/>
          <w:sz w:val="24"/>
        </w:rPr>
        <w:t>AFRONOVATION</w:t>
      </w:r>
    </w:p>
    <w:p>
      <w:pPr>
        <w:jc w:val="center"/>
      </w:pPr>
      <w:r>
        <w:rPr>
          <w:b/>
          <w:color w:val="1F2937"/>
          <w:sz w:val="44"/>
        </w:rPr>
        <w:t>Zimbabwe Digital Investment &amp; Economic Intelligence Platform</w:t>
      </w:r>
    </w:p>
    <w:p>
      <w:pPr>
        <w:jc w:val="center"/>
      </w:pPr>
      <w:r>
        <w:rPr>
          <w:color w:val="145A32"/>
          <w:sz w:val="24"/>
        </w:rPr>
        <w:t>Concept Note v0.2</w:t>
      </w:r>
    </w:p>
    <w:p>
      <w:pPr>
        <w:spacing w:before="240"/>
        <w:jc w:val="center"/>
      </w:pPr>
      <w:r>
        <w:rPr>
          <w:b/>
          <w:sz w:val="20"/>
        </w:rPr>
        <w:t>Prepared by Afronovation | July 2026</w:t>
      </w:r>
    </w:p>
    <w:p>
      <w:pPr>
        <w:spacing w:before="360"/>
        <w:jc w:val="center"/>
      </w:pPr>
      <w:r>
        <w:rPr>
          <w:i/>
          <w:sz w:val="19"/>
        </w:rPr>
        <w:t>Prepared for discussion with the Embassy of Zimbabwe, ZIDA leadership, and senior Government stakeholders</w:t>
      </w:r>
    </w:p>
    <w:p/>
    <w:tbl>
      <w:tblPr>
        <w:tblW w:type="auto" w:w="0"/>
        <w:tblLook w:firstColumn="1" w:firstRow="1" w:lastColumn="0" w:lastRow="0" w:noHBand="0" w:noVBand="1" w:val="04A0"/>
      </w:tblPr>
      <w:tblGrid>
        <w:gridCol w:w="10368"/>
      </w:tblGrid>
      <w:tr>
        <w:tc>
          <w:tcPr>
            <w:tcW w:type="dxa" w:w="10368"/>
            <w:shd w:fill="F6F7F2"/>
          </w:tcPr>
          <w:p>
            <w:pPr>
              <w:jc w:val="center"/>
            </w:pPr>
            <w:r/>
            <w:r>
              <w:rPr>
                <w:b/>
                <w:color w:val="145A32"/>
                <w:sz w:val="22"/>
              </w:rPr>
              <w:t>From ZIDA Project Catalogue to a governed, investor-facing digital intelligence platform</w:t>
            </w:r>
          </w:p>
        </w:tc>
      </w:tr>
    </w:tbl>
    <w:p>
      <w:r>
        <w:br w:type="page"/>
      </w:r>
    </w:p>
    <w:p>
      <w:pPr>
        <w:pStyle w:val="Heading1"/>
      </w:pPr>
      <w:r>
        <w:rPr>
          <w:color w:val="145A32"/>
        </w:rPr>
        <w:t>1. Executive Summary</w:t>
      </w:r>
    </w:p>
    <w:p>
      <w:pPr>
        <w:spacing w:after="120"/>
      </w:pPr>
      <w:r>
        <w:t>Zimbabwe is entering a decisive implementation period under Vision 2030, National Development Strategy 2, Smart Zimbabwe 2030, and its broader national digital transformation agenda. Afronovation proposes to support the Government of Zimbabwe through a phased digital transformation partnership beginning with a simple, SaaS-enabled Zimbabwe Digital Investment &amp; Economic Intelligence Platform.</w:t>
      </w:r>
    </w:p>
    <w:p>
      <w:pPr>
        <w:spacing w:after="120"/>
      </w:pPr>
      <w:r>
        <w:t>The immediate opportunity is to transform Zimbabwe's existing investment project catalogue into a live, searchable, governed, investor-facing platform that improves investment visibility, project discovery, investor engagement, institutional coordination, and economic intelligence.</w:t>
      </w:r>
    </w:p>
    <w:p>
      <w:pPr>
        <w:spacing w:after="120"/>
      </w:pPr>
      <w:r>
        <w:t>The platform would begin with the digitization and structuring of ZIDA's existing project portfolio, which already includes a national overview, priority sectors, project owners, locations, investment requirements, financial indicators, PPP models, SEZ opportunities, and project profiles across sectors including health, agriculture, ICT, manufacturing, mining, infrastructure, renewable energy, tourism, and financial services.</w:t>
      </w:r>
    </w:p>
    <w:p>
      <w:pPr>
        <w:spacing w:after="120"/>
      </w:pPr>
      <w:r>
        <w:t>Afronovation's proposed value is not to replace ZIDA, ministries, agencies, or existing government systems. The value is to provide an Afronovation-owned SaaS infrastructure layer that strengthens Zimbabwe's investment promotion architecture, creates a trusted project intelligence interface, captures investor demand, and supports a broader national digital transformation pathway.</w:t>
      </w:r>
    </w:p>
    <w:p>
      <w:pPr>
        <w:spacing w:after="120"/>
      </w:pPr>
      <w:r>
        <w:t>The platform is designed around governance. Every project would follow a standardized template, mandatory field validation, institutional review, approval workflow, visibility controls, and controlled publication before it becomes visible to investors. This protects the credibility of Zimbabwe's investment narrative and ensures that published opportunities remain complete, validated, and aligned with national priorities.</w:t>
      </w:r>
    </w:p>
    <w:p>
      <w:pPr>
        <w:pStyle w:val="Heading1"/>
      </w:pPr>
      <w:r>
        <w:rPr>
          <w:color w:val="145A32"/>
        </w:rPr>
        <w:t>2. Purpose and Strategic Rationale</w:t>
      </w:r>
    </w:p>
    <w:p>
      <w:pPr>
        <w:spacing w:after="120"/>
      </w:pPr>
      <w:r>
        <w:t>The purpose of this concept note is to propose a practical digital transformation partnership between Afronovation and the Government of Zimbabwe, beginning with the modernization of Zimbabwe's investment guide and project catalogue into a governed digital investment platform.</w:t>
      </w:r>
    </w:p>
    <w:p>
      <w:pPr>
        <w:spacing w:after="120"/>
      </w:pPr>
      <w:r>
        <w:t>The initiative is designed to support Zimbabwe in:</w:t>
      </w:r>
    </w:p>
    <w:p>
      <w:pPr>
        <w:pStyle w:val="ListBullet"/>
        <w:spacing w:after="40"/>
      </w:pPr>
      <w:r>
        <w:t>improving investment visibility and investor engagement;</w:t>
      </w:r>
    </w:p>
    <w:p>
      <w:pPr>
        <w:pStyle w:val="ListBullet"/>
        <w:spacing w:after="40"/>
      </w:pPr>
      <w:r>
        <w:t>modernizing digital government infrastructure;</w:t>
      </w:r>
    </w:p>
    <w:p>
      <w:pPr>
        <w:pStyle w:val="ListBullet"/>
        <w:spacing w:after="40"/>
      </w:pPr>
      <w:r>
        <w:t>strengthening institutional interoperability;</w:t>
      </w:r>
    </w:p>
    <w:p>
      <w:pPr>
        <w:pStyle w:val="ListBullet"/>
        <w:spacing w:after="40"/>
      </w:pPr>
      <w:r>
        <w:t>accelerating public service digitization;</w:t>
      </w:r>
    </w:p>
    <w:p>
      <w:pPr>
        <w:pStyle w:val="ListBullet"/>
        <w:spacing w:after="40"/>
      </w:pPr>
      <w:r>
        <w:t>enhancing economic competitiveness;</w:t>
      </w:r>
    </w:p>
    <w:p>
      <w:pPr>
        <w:pStyle w:val="ListBullet"/>
        <w:spacing w:after="40"/>
      </w:pPr>
      <w:r>
        <w:t>creating scalable sovereign digital infrastructure;</w:t>
      </w:r>
    </w:p>
    <w:p>
      <w:pPr>
        <w:pStyle w:val="ListBullet"/>
        <w:spacing w:after="40"/>
      </w:pPr>
      <w:r>
        <w:t>developing a broader national digital transformation agenda.</w:t>
      </w:r>
    </w:p>
    <w:p>
      <w:pPr>
        <w:spacing w:after="120"/>
      </w:pPr>
      <w:r>
        <w:t>The strategic logic is simple: Zimbabwe already has the investment content and national priorities. Afronovation helps transform those assets into a governed, reusable, investor-facing SaaS platform that can support both immediate investment promotion and future digital transformation workstreams.</w:t>
      </w:r>
    </w:p>
    <w:p>
      <w:pPr>
        <w:pStyle w:val="Heading1"/>
      </w:pPr>
      <w:r>
        <w:rPr>
          <w:color w:val="145A32"/>
        </w:rPr>
        <w:t>3. Immediate Opportunity: From ZIDA Project Catalogue to Digital Platform</w:t>
      </w:r>
    </w:p>
    <w:p>
      <w:pPr>
        <w:spacing w:after="120"/>
      </w:pPr>
      <w:r>
        <w:t>The ZIDA 2025 project portfolio provides a strong foundation for a digital investment platform. It includes sector overviews, project descriptions, location mapping, capital requirements, financial indicators, project scope, and investment requirements.</w:t>
      </w:r>
    </w:p>
    <w:p>
      <w:pPr>
        <w:spacing w:after="120"/>
      </w:pPr>
      <w:r>
        <w:t>Afronovation proposes to convert this type of catalogue from a static format into a live platform where projects can be searched, filtered, updated, classified, compared, governed, and routed to the right institutional contact.</w:t>
      </w:r>
    </w:p>
    <w:tbl>
      <w:tblPr>
        <w:tblStyle w:val="TableGrid"/>
        <w:tblW w:type="auto" w:w="0"/>
        <w:jc w:val="center"/>
        <w:tblLook w:firstColumn="1" w:firstRow="1" w:lastColumn="0" w:lastRow="0" w:noHBand="0" w:noVBand="1" w:val="04A0"/>
      </w:tblPr>
      <w:tblGrid>
        <w:gridCol w:w="5184"/>
        <w:gridCol w:w="5184"/>
      </w:tblGrid>
      <w:tr>
        <w:tc>
          <w:tcPr>
            <w:tcW w:type="dxa" w:w="2304"/>
            <w:shd w:fill="145A32"/>
            <w:vAlign w:val="top"/>
          </w:tcPr>
          <w:p>
            <w:pPr>
              <w:spacing w:after="40" w:before="0"/>
            </w:pPr>
            <w:r>
              <w:rPr>
                <w:sz w:val="17"/>
              </w:rPr>
            </w:r>
            <w:r>
              <w:rPr>
                <w:b/>
                <w:color w:val="FFFFFF"/>
                <w:sz w:val="17"/>
              </w:rPr>
              <w:t>Investor Need</w:t>
            </w:r>
          </w:p>
        </w:tc>
        <w:tc>
          <w:tcPr>
            <w:tcW w:type="dxa" w:w="7056"/>
            <w:shd w:fill="145A32"/>
            <w:vAlign w:val="top"/>
          </w:tcPr>
          <w:p>
            <w:pPr>
              <w:spacing w:after="40" w:before="0"/>
            </w:pPr>
            <w:r>
              <w:rPr>
                <w:sz w:val="17"/>
              </w:rPr>
            </w:r>
            <w:r>
              <w:rPr>
                <w:b/>
                <w:color w:val="FFFFFF"/>
                <w:sz w:val="17"/>
              </w:rPr>
              <w:t>Digital Platform Response</w:t>
            </w:r>
          </w:p>
        </w:tc>
      </w:tr>
      <w:tr>
        <w:tc>
          <w:tcPr>
            <w:tcW w:type="dxa" w:w="2304"/>
            <w:vAlign w:val="top"/>
          </w:tcPr>
          <w:p>
            <w:pPr>
              <w:spacing w:after="40" w:before="0"/>
            </w:pPr>
            <w:r>
              <w:rPr>
                <w:sz w:val="17"/>
              </w:rPr>
            </w:r>
            <w:r>
              <w:rPr>
                <w:b w:val="0"/>
                <w:sz w:val="17"/>
              </w:rPr>
              <w:t>Find relevant opportunities quickly</w:t>
            </w:r>
          </w:p>
        </w:tc>
        <w:tc>
          <w:tcPr>
            <w:tcW w:type="dxa" w:w="7056"/>
            <w:vAlign w:val="top"/>
          </w:tcPr>
          <w:p>
            <w:pPr>
              <w:spacing w:after="40" w:before="0"/>
            </w:pPr>
            <w:r>
              <w:rPr>
                <w:sz w:val="17"/>
              </w:rPr>
            </w:r>
            <w:r>
              <w:rPr>
                <w:b w:val="0"/>
                <w:sz w:val="17"/>
              </w:rPr>
              <w:t>Search and filter by sector, pillar, province, ministry, SDG, capital requirement, readiness, and financing type</w:t>
            </w:r>
          </w:p>
        </w:tc>
      </w:tr>
      <w:tr>
        <w:tc>
          <w:tcPr>
            <w:tcW w:type="dxa" w:w="2304"/>
            <w:vAlign w:val="top"/>
          </w:tcPr>
          <w:p>
            <w:pPr>
              <w:spacing w:after="40" w:before="0"/>
            </w:pPr>
            <w:r>
              <w:rPr>
                <w:sz w:val="17"/>
              </w:rPr>
            </w:r>
            <w:r>
              <w:rPr>
                <w:b w:val="0"/>
                <w:sz w:val="17"/>
              </w:rPr>
              <w:t>Assess credibility</w:t>
            </w:r>
          </w:p>
        </w:tc>
        <w:tc>
          <w:tcPr>
            <w:tcW w:type="dxa" w:w="7056"/>
            <w:vAlign w:val="top"/>
          </w:tcPr>
          <w:p>
            <w:pPr>
              <w:spacing w:after="40" w:before="0"/>
            </w:pPr>
            <w:r>
              <w:rPr>
                <w:sz w:val="17"/>
              </w:rPr>
            </w:r>
            <w:r>
              <w:rPr>
                <w:b w:val="0"/>
                <w:sz w:val="17"/>
              </w:rPr>
              <w:t>Structured project records, source references, validation status, approval metadata, and document controls</w:t>
            </w:r>
          </w:p>
        </w:tc>
      </w:tr>
      <w:tr>
        <w:tc>
          <w:tcPr>
            <w:tcW w:type="dxa" w:w="2304"/>
            <w:vAlign w:val="top"/>
          </w:tcPr>
          <w:p>
            <w:pPr>
              <w:spacing w:after="40" w:before="0"/>
            </w:pPr>
            <w:r>
              <w:rPr>
                <w:sz w:val="17"/>
              </w:rPr>
            </w:r>
            <w:r>
              <w:rPr>
                <w:b w:val="0"/>
                <w:sz w:val="17"/>
              </w:rPr>
              <w:t>Understand development alignment</w:t>
            </w:r>
          </w:p>
        </w:tc>
        <w:tc>
          <w:tcPr>
            <w:tcW w:type="dxa" w:w="7056"/>
            <w:vAlign w:val="top"/>
          </w:tcPr>
          <w:p>
            <w:pPr>
              <w:spacing w:after="40" w:before="0"/>
            </w:pPr>
            <w:r>
              <w:rPr>
                <w:sz w:val="17"/>
              </w:rPr>
            </w:r>
            <w:r>
              <w:rPr>
                <w:b w:val="0"/>
                <w:sz w:val="17"/>
              </w:rPr>
              <w:t>SDG tags, strategic pillar mapping, beneficiary ministry mapping, and impact indicators</w:t>
            </w:r>
          </w:p>
        </w:tc>
      </w:tr>
      <w:tr>
        <w:tc>
          <w:tcPr>
            <w:tcW w:type="dxa" w:w="2304"/>
            <w:vAlign w:val="top"/>
          </w:tcPr>
          <w:p>
            <w:pPr>
              <w:spacing w:after="40" w:before="0"/>
            </w:pPr>
            <w:r>
              <w:rPr>
                <w:sz w:val="17"/>
              </w:rPr>
            </w:r>
            <w:r>
              <w:rPr>
                <w:b w:val="0"/>
                <w:sz w:val="17"/>
              </w:rPr>
              <w:t>Engage with the right institution</w:t>
            </w:r>
          </w:p>
        </w:tc>
        <w:tc>
          <w:tcPr>
            <w:tcW w:type="dxa" w:w="7056"/>
            <w:vAlign w:val="top"/>
          </w:tcPr>
          <w:p>
            <w:pPr>
              <w:spacing w:after="40" w:before="0"/>
            </w:pPr>
            <w:r>
              <w:rPr>
                <w:sz w:val="17"/>
              </w:rPr>
            </w:r>
            <w:r>
              <w:rPr>
                <w:b w:val="0"/>
                <w:sz w:val="17"/>
              </w:rPr>
              <w:t>Inquiry routing to ZIDA, Embassy investment desk, ministry, agency, project owner, or Afronovation platform team</w:t>
            </w:r>
          </w:p>
        </w:tc>
      </w:tr>
      <w:tr>
        <w:tc>
          <w:tcPr>
            <w:tcW w:type="dxa" w:w="2304"/>
            <w:vAlign w:val="top"/>
          </w:tcPr>
          <w:p>
            <w:pPr>
              <w:spacing w:after="40" w:before="0"/>
            </w:pPr>
            <w:r>
              <w:rPr>
                <w:sz w:val="17"/>
              </w:rPr>
            </w:r>
            <w:r>
              <w:rPr>
                <w:b w:val="0"/>
                <w:sz w:val="17"/>
              </w:rPr>
              <w:t>Access deeper information</w:t>
            </w:r>
          </w:p>
        </w:tc>
        <w:tc>
          <w:tcPr>
            <w:tcW w:type="dxa" w:w="7056"/>
            <w:vAlign w:val="top"/>
          </w:tcPr>
          <w:p>
            <w:pPr>
              <w:spacing w:after="40" w:before="0"/>
            </w:pPr>
            <w:r>
              <w:rPr>
                <w:sz w:val="17"/>
              </w:rPr>
            </w:r>
            <w:r>
              <w:rPr>
                <w:b w:val="0"/>
                <w:sz w:val="17"/>
              </w:rPr>
              <w:t>Registration, investor profile, qualification workflow, controlled document access, and meeting requests</w:t>
            </w:r>
          </w:p>
        </w:tc>
      </w:tr>
    </w:tbl>
    <w:p>
      <w:pPr>
        <w:spacing w:after="120"/>
      </w:pPr>
      <w:r>
        <w:rPr>
          <w:b/>
        </w:rPr>
        <w:t>Core proposition:</w:t>
      </w:r>
      <w:r/>
    </w:p>
    <w:p>
      <w:pPr>
        <w:spacing w:after="120"/>
      </w:pPr>
      <w:r>
        <w:t>Zimbabwe already has a strong investment project pipeline. Afronovation helps transform it into a trusted digital investment intelligence platform designed for investors, DFIs, diaspora stakeholders, ministries, and strategic partners.</w:t>
      </w:r>
    </w:p>
    <w:p>
      <w:pPr>
        <w:pStyle w:val="Heading1"/>
      </w:pPr>
      <w:r>
        <w:rPr>
          <w:color w:val="145A32"/>
        </w:rPr>
        <w:t>4. Proposed SaaS Platform</w:t>
      </w:r>
    </w:p>
    <w:p>
      <w:pPr>
        <w:spacing w:after="120"/>
      </w:pPr>
      <w:r>
        <w:t>The Zimbabwe Digital Investment &amp; Economic Intelligence Platform would be configured as an Afronovation-owned SaaS platform for Zimbabwe's investment promotion and digital transformation priorities.</w:t>
      </w:r>
    </w:p>
    <w:tbl>
      <w:tblPr>
        <w:tblStyle w:val="TableGrid"/>
        <w:tblW w:type="auto" w:w="0"/>
        <w:jc w:val="center"/>
        <w:tblLook w:firstColumn="1" w:firstRow="1" w:lastColumn="0" w:lastRow="0" w:noHBand="0" w:noVBand="1" w:val="04A0"/>
      </w:tblPr>
      <w:tblGrid>
        <w:gridCol w:w="5184"/>
        <w:gridCol w:w="5184"/>
      </w:tblGrid>
      <w:tr>
        <w:tc>
          <w:tcPr>
            <w:tcW w:type="dxa" w:w="2736"/>
            <w:shd w:fill="145A32"/>
            <w:vAlign w:val="top"/>
          </w:tcPr>
          <w:p>
            <w:pPr>
              <w:spacing w:after="40" w:before="0"/>
            </w:pPr>
            <w:r>
              <w:rPr>
                <w:sz w:val="17"/>
              </w:rPr>
            </w:r>
            <w:r>
              <w:rPr>
                <w:b/>
                <w:color w:val="FFFFFF"/>
                <w:sz w:val="17"/>
              </w:rPr>
              <w:t>MVP Module</w:t>
            </w:r>
          </w:p>
        </w:tc>
        <w:tc>
          <w:tcPr>
            <w:tcW w:type="dxa" w:w="6624"/>
            <w:shd w:fill="145A32"/>
            <w:vAlign w:val="top"/>
          </w:tcPr>
          <w:p>
            <w:pPr>
              <w:spacing w:after="40" w:before="0"/>
            </w:pPr>
            <w:r>
              <w:rPr>
                <w:sz w:val="17"/>
              </w:rPr>
            </w:r>
            <w:r>
              <w:rPr>
                <w:b/>
                <w:color w:val="FFFFFF"/>
                <w:sz w:val="17"/>
              </w:rPr>
              <w:t>Purpose</w:t>
            </w:r>
          </w:p>
        </w:tc>
      </w:tr>
      <w:tr>
        <w:tc>
          <w:tcPr>
            <w:tcW w:type="dxa" w:w="2736"/>
            <w:vAlign w:val="top"/>
          </w:tcPr>
          <w:p>
            <w:pPr>
              <w:spacing w:after="40" w:before="0"/>
            </w:pPr>
            <w:r>
              <w:rPr>
                <w:sz w:val="17"/>
              </w:rPr>
            </w:r>
            <w:r>
              <w:rPr>
                <w:b w:val="0"/>
                <w:sz w:val="17"/>
              </w:rPr>
              <w:t>Country Overview</w:t>
            </w:r>
          </w:p>
        </w:tc>
        <w:tc>
          <w:tcPr>
            <w:tcW w:type="dxa" w:w="6624"/>
            <w:vAlign w:val="top"/>
          </w:tcPr>
          <w:p>
            <w:pPr>
              <w:spacing w:after="40" w:before="0"/>
            </w:pPr>
            <w:r>
              <w:rPr>
                <w:sz w:val="17"/>
              </w:rPr>
            </w:r>
            <w:r>
              <w:rPr>
                <w:b w:val="0"/>
                <w:sz w:val="17"/>
              </w:rPr>
              <w:t>Presents Zimbabwe's national investment profile and macro context</w:t>
            </w:r>
          </w:p>
        </w:tc>
      </w:tr>
      <w:tr>
        <w:tc>
          <w:tcPr>
            <w:tcW w:type="dxa" w:w="2736"/>
            <w:vAlign w:val="top"/>
          </w:tcPr>
          <w:p>
            <w:pPr>
              <w:spacing w:after="40" w:before="0"/>
            </w:pPr>
            <w:r>
              <w:rPr>
                <w:sz w:val="17"/>
              </w:rPr>
            </w:r>
            <w:r>
              <w:rPr>
                <w:b w:val="0"/>
                <w:sz w:val="17"/>
              </w:rPr>
              <w:t>Strategic Pillars</w:t>
            </w:r>
          </w:p>
        </w:tc>
        <w:tc>
          <w:tcPr>
            <w:tcW w:type="dxa" w:w="6624"/>
            <w:vAlign w:val="top"/>
          </w:tcPr>
          <w:p>
            <w:pPr>
              <w:spacing w:after="40" w:before="0"/>
            </w:pPr>
            <w:r>
              <w:rPr>
                <w:sz w:val="17"/>
              </w:rPr>
            </w:r>
            <w:r>
              <w:rPr>
                <w:b w:val="0"/>
                <w:sz w:val="17"/>
              </w:rPr>
              <w:t>Organizes projects by national development priorities</w:t>
            </w:r>
          </w:p>
        </w:tc>
      </w:tr>
      <w:tr>
        <w:tc>
          <w:tcPr>
            <w:tcW w:type="dxa" w:w="2736"/>
            <w:vAlign w:val="top"/>
          </w:tcPr>
          <w:p>
            <w:pPr>
              <w:spacing w:after="40" w:before="0"/>
            </w:pPr>
            <w:r>
              <w:rPr>
                <w:sz w:val="17"/>
              </w:rPr>
            </w:r>
            <w:r>
              <w:rPr>
                <w:b w:val="0"/>
                <w:sz w:val="17"/>
              </w:rPr>
              <w:t>Sector Pages</w:t>
            </w:r>
          </w:p>
        </w:tc>
        <w:tc>
          <w:tcPr>
            <w:tcW w:type="dxa" w:w="6624"/>
            <w:vAlign w:val="top"/>
          </w:tcPr>
          <w:p>
            <w:pPr>
              <w:spacing w:after="40" w:before="0"/>
            </w:pPr>
            <w:r>
              <w:rPr>
                <w:sz w:val="17"/>
              </w:rPr>
            </w:r>
            <w:r>
              <w:rPr>
                <w:b w:val="0"/>
                <w:sz w:val="17"/>
              </w:rPr>
              <w:t>Groups opportunities by key sector and subsector</w:t>
            </w:r>
          </w:p>
        </w:tc>
      </w:tr>
      <w:tr>
        <w:tc>
          <w:tcPr>
            <w:tcW w:type="dxa" w:w="2736"/>
            <w:vAlign w:val="top"/>
          </w:tcPr>
          <w:p>
            <w:pPr>
              <w:spacing w:after="40" w:before="0"/>
            </w:pPr>
            <w:r>
              <w:rPr>
                <w:sz w:val="17"/>
              </w:rPr>
            </w:r>
            <w:r>
              <w:rPr>
                <w:b w:val="0"/>
                <w:sz w:val="17"/>
              </w:rPr>
              <w:t>Project Registry</w:t>
            </w:r>
          </w:p>
        </w:tc>
        <w:tc>
          <w:tcPr>
            <w:tcW w:type="dxa" w:w="6624"/>
            <w:vAlign w:val="top"/>
          </w:tcPr>
          <w:p>
            <w:pPr>
              <w:spacing w:after="40" w:before="0"/>
            </w:pPr>
            <w:r>
              <w:rPr>
                <w:sz w:val="17"/>
              </w:rPr>
            </w:r>
            <w:r>
              <w:rPr>
                <w:b w:val="0"/>
                <w:sz w:val="17"/>
              </w:rPr>
              <w:t>Converts ZIDA projects into searchable investment opportunity records</w:t>
            </w:r>
          </w:p>
        </w:tc>
      </w:tr>
      <w:tr>
        <w:tc>
          <w:tcPr>
            <w:tcW w:type="dxa" w:w="2736"/>
            <w:vAlign w:val="top"/>
          </w:tcPr>
          <w:p>
            <w:pPr>
              <w:spacing w:after="40" w:before="0"/>
            </w:pPr>
            <w:r>
              <w:rPr>
                <w:sz w:val="17"/>
              </w:rPr>
            </w:r>
            <w:r>
              <w:rPr>
                <w:b w:val="0"/>
                <w:sz w:val="17"/>
              </w:rPr>
              <w:t>SDG &amp; Impact Mapping</w:t>
            </w:r>
          </w:p>
        </w:tc>
        <w:tc>
          <w:tcPr>
            <w:tcW w:type="dxa" w:w="6624"/>
            <w:vAlign w:val="top"/>
          </w:tcPr>
          <w:p>
            <w:pPr>
              <w:spacing w:after="40" w:before="0"/>
            </w:pPr>
            <w:r>
              <w:rPr>
                <w:sz w:val="17"/>
              </w:rPr>
            </w:r>
            <w:r>
              <w:rPr>
                <w:b w:val="0"/>
                <w:sz w:val="17"/>
              </w:rPr>
              <w:t>Links each project to SDGs, development impact, and institutional investor relevance</w:t>
            </w:r>
          </w:p>
        </w:tc>
      </w:tr>
      <w:tr>
        <w:tc>
          <w:tcPr>
            <w:tcW w:type="dxa" w:w="2736"/>
            <w:vAlign w:val="top"/>
          </w:tcPr>
          <w:p>
            <w:pPr>
              <w:spacing w:after="40" w:before="0"/>
            </w:pPr>
            <w:r>
              <w:rPr>
                <w:sz w:val="17"/>
              </w:rPr>
            </w:r>
            <w:r>
              <w:rPr>
                <w:b w:val="0"/>
                <w:sz w:val="17"/>
              </w:rPr>
              <w:t>Ministry Mapping</w:t>
            </w:r>
          </w:p>
        </w:tc>
        <w:tc>
          <w:tcPr>
            <w:tcW w:type="dxa" w:w="6624"/>
            <w:vAlign w:val="top"/>
          </w:tcPr>
          <w:p>
            <w:pPr>
              <w:spacing w:after="40" w:before="0"/>
            </w:pPr>
            <w:r>
              <w:rPr>
                <w:sz w:val="17"/>
              </w:rPr>
            </w:r>
            <w:r>
              <w:rPr>
                <w:b w:val="0"/>
                <w:sz w:val="17"/>
              </w:rPr>
              <w:t>Connects projects to beneficiary ministries, secondary ministries, agencies, and regulators</w:t>
            </w:r>
          </w:p>
        </w:tc>
      </w:tr>
      <w:tr>
        <w:tc>
          <w:tcPr>
            <w:tcW w:type="dxa" w:w="2736"/>
            <w:vAlign w:val="top"/>
          </w:tcPr>
          <w:p>
            <w:pPr>
              <w:spacing w:after="40" w:before="0"/>
            </w:pPr>
            <w:r>
              <w:rPr>
                <w:sz w:val="17"/>
              </w:rPr>
            </w:r>
            <w:r>
              <w:rPr>
                <w:b w:val="0"/>
                <w:sz w:val="17"/>
              </w:rPr>
              <w:t>Investment Map</w:t>
            </w:r>
          </w:p>
        </w:tc>
        <w:tc>
          <w:tcPr>
            <w:tcW w:type="dxa" w:w="6624"/>
            <w:vAlign w:val="top"/>
          </w:tcPr>
          <w:p>
            <w:pPr>
              <w:spacing w:after="40" w:before="0"/>
            </w:pPr>
            <w:r>
              <w:rPr>
                <w:sz w:val="17"/>
              </w:rPr>
            </w:r>
            <w:r>
              <w:rPr>
                <w:b w:val="0"/>
                <w:sz w:val="17"/>
              </w:rPr>
              <w:t>Shows projects by province, district, and economic corridor</w:t>
            </w:r>
          </w:p>
        </w:tc>
      </w:tr>
      <w:tr>
        <w:tc>
          <w:tcPr>
            <w:tcW w:type="dxa" w:w="2736"/>
            <w:vAlign w:val="top"/>
          </w:tcPr>
          <w:p>
            <w:pPr>
              <w:spacing w:after="40" w:before="0"/>
            </w:pPr>
            <w:r>
              <w:rPr>
                <w:sz w:val="17"/>
              </w:rPr>
            </w:r>
            <w:r>
              <w:rPr>
                <w:b w:val="0"/>
                <w:sz w:val="17"/>
              </w:rPr>
              <w:t>Investor Journey Hub</w:t>
            </w:r>
          </w:p>
        </w:tc>
        <w:tc>
          <w:tcPr>
            <w:tcW w:type="dxa" w:w="6624"/>
            <w:vAlign w:val="top"/>
          </w:tcPr>
          <w:p>
            <w:pPr>
              <w:spacing w:after="40" w:before="0"/>
            </w:pPr>
            <w:r>
              <w:rPr>
                <w:sz w:val="17"/>
              </w:rPr>
            </w:r>
            <w:r>
              <w:rPr>
                <w:b w:val="0"/>
                <w:sz w:val="17"/>
              </w:rPr>
              <w:t>Explains how to invest, register, request meetings, and access documents</w:t>
            </w:r>
          </w:p>
        </w:tc>
      </w:tr>
      <w:tr>
        <w:tc>
          <w:tcPr>
            <w:tcW w:type="dxa" w:w="2736"/>
            <w:vAlign w:val="top"/>
          </w:tcPr>
          <w:p>
            <w:pPr>
              <w:spacing w:after="40" w:before="0"/>
            </w:pPr>
            <w:r>
              <w:rPr>
                <w:sz w:val="17"/>
              </w:rPr>
            </w:r>
            <w:r>
              <w:rPr>
                <w:b w:val="0"/>
                <w:sz w:val="17"/>
              </w:rPr>
              <w:t>Lead Capture &amp; Registration</w:t>
            </w:r>
          </w:p>
        </w:tc>
        <w:tc>
          <w:tcPr>
            <w:tcW w:type="dxa" w:w="6624"/>
            <w:vAlign w:val="top"/>
          </w:tcPr>
          <w:p>
            <w:pPr>
              <w:spacing w:after="40" w:before="0"/>
            </w:pPr>
            <w:r>
              <w:rPr>
                <w:sz w:val="17"/>
              </w:rPr>
            </w:r>
            <w:r>
              <w:rPr>
                <w:b w:val="0"/>
                <w:sz w:val="17"/>
              </w:rPr>
              <w:t>Encourages visitors to register to view deeper project details and become qualified leads</w:t>
            </w:r>
          </w:p>
        </w:tc>
      </w:tr>
      <w:tr>
        <w:tc>
          <w:tcPr>
            <w:tcW w:type="dxa" w:w="2736"/>
            <w:vAlign w:val="top"/>
          </w:tcPr>
          <w:p>
            <w:pPr>
              <w:spacing w:after="40" w:before="0"/>
            </w:pPr>
            <w:r>
              <w:rPr>
                <w:sz w:val="17"/>
              </w:rPr>
            </w:r>
            <w:r>
              <w:rPr>
                <w:b w:val="0"/>
                <w:sz w:val="17"/>
              </w:rPr>
              <w:t>Contact &amp; Inquiry Routing</w:t>
            </w:r>
          </w:p>
        </w:tc>
        <w:tc>
          <w:tcPr>
            <w:tcW w:type="dxa" w:w="6624"/>
            <w:vAlign w:val="top"/>
          </w:tcPr>
          <w:p>
            <w:pPr>
              <w:spacing w:after="40" w:before="0"/>
            </w:pPr>
            <w:r>
              <w:rPr>
                <w:sz w:val="17"/>
              </w:rPr>
            </w:r>
            <w:r>
              <w:rPr>
                <w:b w:val="0"/>
                <w:sz w:val="17"/>
              </w:rPr>
              <w:t>Captures reason for contact and routes inquiries by purpose and sector of interest</w:t>
            </w:r>
          </w:p>
        </w:tc>
      </w:tr>
      <w:tr>
        <w:tc>
          <w:tcPr>
            <w:tcW w:type="dxa" w:w="2736"/>
            <w:vAlign w:val="top"/>
          </w:tcPr>
          <w:p>
            <w:pPr>
              <w:spacing w:after="40" w:before="0"/>
            </w:pPr>
            <w:r>
              <w:rPr>
                <w:sz w:val="17"/>
              </w:rPr>
            </w:r>
            <w:r>
              <w:rPr>
                <w:b w:val="0"/>
                <w:sz w:val="17"/>
              </w:rPr>
              <w:t>Document Vault</w:t>
            </w:r>
          </w:p>
        </w:tc>
        <w:tc>
          <w:tcPr>
            <w:tcW w:type="dxa" w:w="6624"/>
            <w:vAlign w:val="top"/>
          </w:tcPr>
          <w:p>
            <w:pPr>
              <w:spacing w:after="40" w:before="0"/>
            </w:pPr>
            <w:r>
              <w:rPr>
                <w:sz w:val="17"/>
              </w:rPr>
            </w:r>
            <w:r>
              <w:rPr>
                <w:b w:val="0"/>
                <w:sz w:val="17"/>
              </w:rPr>
              <w:t>Stores project briefs, feasibility summaries, investor packs, and supporting files</w:t>
            </w:r>
          </w:p>
        </w:tc>
      </w:tr>
      <w:tr>
        <w:tc>
          <w:tcPr>
            <w:tcW w:type="dxa" w:w="2736"/>
            <w:vAlign w:val="top"/>
          </w:tcPr>
          <w:p>
            <w:pPr>
              <w:spacing w:after="40" w:before="0"/>
            </w:pPr>
            <w:r>
              <w:rPr>
                <w:sz w:val="17"/>
              </w:rPr>
            </w:r>
            <w:r>
              <w:rPr>
                <w:b w:val="0"/>
                <w:sz w:val="17"/>
              </w:rPr>
              <w:t>Review &amp; Approval Workflow</w:t>
            </w:r>
          </w:p>
        </w:tc>
        <w:tc>
          <w:tcPr>
            <w:tcW w:type="dxa" w:w="6624"/>
            <w:vAlign w:val="top"/>
          </w:tcPr>
          <w:p>
            <w:pPr>
              <w:spacing w:after="40" w:before="0"/>
            </w:pPr>
            <w:r>
              <w:rPr>
                <w:sz w:val="17"/>
              </w:rPr>
            </w:r>
            <w:r>
              <w:rPr>
                <w:b w:val="0"/>
                <w:sz w:val="17"/>
              </w:rPr>
              <w:t>Ensures projects follow the approved template, validation rules, and institutional review before publication</w:t>
            </w:r>
          </w:p>
        </w:tc>
      </w:tr>
      <w:tr>
        <w:tc>
          <w:tcPr>
            <w:tcW w:type="dxa" w:w="2736"/>
            <w:vAlign w:val="top"/>
          </w:tcPr>
          <w:p>
            <w:pPr>
              <w:spacing w:after="40" w:before="0"/>
            </w:pPr>
            <w:r>
              <w:rPr>
                <w:sz w:val="17"/>
              </w:rPr>
            </w:r>
            <w:r>
              <w:rPr>
                <w:b w:val="0"/>
                <w:sz w:val="17"/>
              </w:rPr>
              <w:t>Admin Console</w:t>
            </w:r>
          </w:p>
        </w:tc>
        <w:tc>
          <w:tcPr>
            <w:tcW w:type="dxa" w:w="6624"/>
            <w:vAlign w:val="top"/>
          </w:tcPr>
          <w:p>
            <w:pPr>
              <w:spacing w:after="40" w:before="0"/>
            </w:pPr>
            <w:r>
              <w:rPr>
                <w:sz w:val="17"/>
              </w:rPr>
            </w:r>
            <w:r>
              <w:rPr>
                <w:b w:val="0"/>
                <w:sz w:val="17"/>
              </w:rPr>
              <w:t>Allows authorized users to add, update, approve, classify, and manage projects</w:t>
            </w:r>
          </w:p>
        </w:tc>
      </w:tr>
      <w:tr>
        <w:tc>
          <w:tcPr>
            <w:tcW w:type="dxa" w:w="2736"/>
            <w:vAlign w:val="top"/>
          </w:tcPr>
          <w:p>
            <w:pPr>
              <w:spacing w:after="40" w:before="0"/>
            </w:pPr>
            <w:r>
              <w:rPr>
                <w:sz w:val="17"/>
              </w:rPr>
            </w:r>
            <w:r>
              <w:rPr>
                <w:b w:val="0"/>
                <w:sz w:val="17"/>
              </w:rPr>
              <w:t>Super Admin Console</w:t>
            </w:r>
          </w:p>
        </w:tc>
        <w:tc>
          <w:tcPr>
            <w:tcW w:type="dxa" w:w="6624"/>
            <w:vAlign w:val="top"/>
          </w:tcPr>
          <w:p>
            <w:pPr>
              <w:spacing w:after="40" w:before="0"/>
            </w:pPr>
            <w:r>
              <w:rPr>
                <w:sz w:val="17"/>
              </w:rPr>
            </w:r>
            <w:r>
              <w:rPr>
                <w:b w:val="0"/>
                <w:sz w:val="17"/>
              </w:rPr>
              <w:t>Allows Afronovation to manage tenants, taxonomies, roles, entitlements, publishing rules, and platform settings</w:t>
            </w:r>
          </w:p>
        </w:tc>
      </w:tr>
      <w:tr>
        <w:tc>
          <w:tcPr>
            <w:tcW w:type="dxa" w:w="2736"/>
            <w:vAlign w:val="top"/>
          </w:tcPr>
          <w:p>
            <w:pPr>
              <w:spacing w:after="40" w:before="0"/>
            </w:pPr>
            <w:r>
              <w:rPr>
                <w:sz w:val="17"/>
              </w:rPr>
            </w:r>
            <w:r>
              <w:rPr>
                <w:b w:val="0"/>
                <w:sz w:val="17"/>
              </w:rPr>
              <w:t>Analytics Dashboard</w:t>
            </w:r>
          </w:p>
        </w:tc>
        <w:tc>
          <w:tcPr>
            <w:tcW w:type="dxa" w:w="6624"/>
            <w:vAlign w:val="top"/>
          </w:tcPr>
          <w:p>
            <w:pPr>
              <w:spacing w:after="40" w:before="0"/>
            </w:pPr>
            <w:r>
              <w:rPr>
                <w:sz w:val="17"/>
              </w:rPr>
            </w:r>
            <w:r>
              <w:rPr>
                <w:b w:val="0"/>
                <w:sz w:val="17"/>
              </w:rPr>
              <w:t>Tracks project views, investor interest, inquiry trends, and sector demand</w:t>
            </w:r>
          </w:p>
        </w:tc>
      </w:tr>
    </w:tbl>
    <w:p>
      <w:pPr>
        <w:pStyle w:val="Heading1"/>
      </w:pPr>
      <w:r>
        <w:rPr>
          <w:color w:val="145A32"/>
        </w:rPr>
        <w:t>5. Strategic Project Intelligence Model</w:t>
      </w:r>
    </w:p>
    <w:p>
      <w:pPr>
        <w:spacing w:after="120"/>
      </w:pPr>
      <w:r>
        <w:t>Each investment project should be created as a structured digital record, not merely a page or brochure. This allows Zimbabwe to present opportunities through a financial, institutional, development, and governance lens.</w:t>
      </w:r>
    </w:p>
    <w:tbl>
      <w:tblPr>
        <w:tblStyle w:val="TableGrid"/>
        <w:tblW w:type="auto" w:w="0"/>
        <w:jc w:val="center"/>
        <w:tblLook w:firstColumn="1" w:firstRow="1" w:lastColumn="0" w:lastRow="0" w:noHBand="0" w:noVBand="1" w:val="04A0"/>
      </w:tblPr>
      <w:tblGrid>
        <w:gridCol w:w="5184"/>
        <w:gridCol w:w="5184"/>
      </w:tblGrid>
      <w:tr>
        <w:tc>
          <w:tcPr>
            <w:tcW w:type="dxa" w:w="2448"/>
            <w:shd w:fill="145A32"/>
            <w:vAlign w:val="top"/>
          </w:tcPr>
          <w:p>
            <w:pPr>
              <w:spacing w:after="40" w:before="0"/>
            </w:pPr>
            <w:r>
              <w:rPr>
                <w:sz w:val="17"/>
              </w:rPr>
            </w:r>
            <w:r>
              <w:rPr>
                <w:b/>
                <w:color w:val="FFFFFF"/>
                <w:sz w:val="17"/>
              </w:rPr>
              <w:t>Category</w:t>
            </w:r>
          </w:p>
        </w:tc>
        <w:tc>
          <w:tcPr>
            <w:tcW w:type="dxa" w:w="6912"/>
            <w:shd w:fill="145A32"/>
            <w:vAlign w:val="top"/>
          </w:tcPr>
          <w:p>
            <w:pPr>
              <w:spacing w:after="40" w:before="0"/>
            </w:pPr>
            <w:r>
              <w:rPr>
                <w:sz w:val="17"/>
              </w:rPr>
            </w:r>
            <w:r>
              <w:rPr>
                <w:b/>
                <w:color w:val="FFFFFF"/>
                <w:sz w:val="17"/>
              </w:rPr>
              <w:t>Required / Recommended Fields</w:t>
            </w:r>
          </w:p>
        </w:tc>
      </w:tr>
      <w:tr>
        <w:tc>
          <w:tcPr>
            <w:tcW w:type="dxa" w:w="2448"/>
            <w:vAlign w:val="top"/>
          </w:tcPr>
          <w:p>
            <w:pPr>
              <w:spacing w:after="40" w:before="0"/>
            </w:pPr>
            <w:r>
              <w:rPr>
                <w:sz w:val="17"/>
              </w:rPr>
            </w:r>
            <w:r>
              <w:rPr>
                <w:b w:val="0"/>
                <w:sz w:val="17"/>
              </w:rPr>
              <w:t>Basic Project Data</w:t>
            </w:r>
          </w:p>
        </w:tc>
        <w:tc>
          <w:tcPr>
            <w:tcW w:type="dxa" w:w="6912"/>
            <w:vAlign w:val="top"/>
          </w:tcPr>
          <w:p>
            <w:pPr>
              <w:spacing w:after="40" w:before="0"/>
            </w:pPr>
            <w:r>
              <w:rPr>
                <w:sz w:val="17"/>
              </w:rPr>
            </w:r>
            <w:r>
              <w:rPr>
                <w:b w:val="0"/>
                <w:sz w:val="17"/>
              </w:rPr>
              <w:t>Project title, slug, project owner, location, province, district, project type, project status</w:t>
            </w:r>
          </w:p>
        </w:tc>
      </w:tr>
      <w:tr>
        <w:tc>
          <w:tcPr>
            <w:tcW w:type="dxa" w:w="2448"/>
            <w:vAlign w:val="top"/>
          </w:tcPr>
          <w:p>
            <w:pPr>
              <w:spacing w:after="40" w:before="0"/>
            </w:pPr>
            <w:r>
              <w:rPr>
                <w:sz w:val="17"/>
              </w:rPr>
            </w:r>
            <w:r>
              <w:rPr>
                <w:b w:val="0"/>
                <w:sz w:val="17"/>
              </w:rPr>
              <w:t>Sector Classification</w:t>
            </w:r>
          </w:p>
        </w:tc>
        <w:tc>
          <w:tcPr>
            <w:tcW w:type="dxa" w:w="6912"/>
            <w:vAlign w:val="top"/>
          </w:tcPr>
          <w:p>
            <w:pPr>
              <w:spacing w:after="40" w:before="0"/>
            </w:pPr>
            <w:r>
              <w:rPr>
                <w:sz w:val="17"/>
              </w:rPr>
            </w:r>
            <w:r>
              <w:rPr>
                <w:b w:val="0"/>
                <w:sz w:val="17"/>
              </w:rPr>
              <w:t>Primary sector, secondary sector, subsector</w:t>
            </w:r>
          </w:p>
        </w:tc>
      </w:tr>
      <w:tr>
        <w:tc>
          <w:tcPr>
            <w:tcW w:type="dxa" w:w="2448"/>
            <w:vAlign w:val="top"/>
          </w:tcPr>
          <w:p>
            <w:pPr>
              <w:spacing w:after="40" w:before="0"/>
            </w:pPr>
            <w:r>
              <w:rPr>
                <w:sz w:val="17"/>
              </w:rPr>
            </w:r>
            <w:r>
              <w:rPr>
                <w:b w:val="0"/>
                <w:sz w:val="17"/>
              </w:rPr>
              <w:t>Strategic Alignment</w:t>
            </w:r>
          </w:p>
        </w:tc>
        <w:tc>
          <w:tcPr>
            <w:tcW w:type="dxa" w:w="6912"/>
            <w:vAlign w:val="top"/>
          </w:tcPr>
          <w:p>
            <w:pPr>
              <w:spacing w:after="40" w:before="0"/>
            </w:pPr>
            <w:r>
              <w:rPr>
                <w:sz w:val="17"/>
              </w:rPr>
            </w:r>
            <w:r>
              <w:rPr>
                <w:b w:val="0"/>
                <w:sz w:val="17"/>
              </w:rPr>
              <w:t>Strategic pillar, NDS 2 alignment, Vision 2030 alignment</w:t>
            </w:r>
          </w:p>
        </w:tc>
      </w:tr>
      <w:tr>
        <w:tc>
          <w:tcPr>
            <w:tcW w:type="dxa" w:w="2448"/>
            <w:vAlign w:val="top"/>
          </w:tcPr>
          <w:p>
            <w:pPr>
              <w:spacing w:after="40" w:before="0"/>
            </w:pPr>
            <w:r>
              <w:rPr>
                <w:sz w:val="17"/>
              </w:rPr>
            </w:r>
            <w:r>
              <w:rPr>
                <w:b w:val="0"/>
                <w:sz w:val="17"/>
              </w:rPr>
              <w:t>SDG Mapping</w:t>
            </w:r>
          </w:p>
        </w:tc>
        <w:tc>
          <w:tcPr>
            <w:tcW w:type="dxa" w:w="6912"/>
            <w:vAlign w:val="top"/>
          </w:tcPr>
          <w:p>
            <w:pPr>
              <w:spacing w:after="40" w:before="0"/>
            </w:pPr>
            <w:r>
              <w:rPr>
                <w:sz w:val="17"/>
              </w:rPr>
            </w:r>
            <w:r>
              <w:rPr>
                <w:b w:val="0"/>
                <w:sz w:val="17"/>
              </w:rPr>
              <w:t>One or more Sustainable Development Goals</w:t>
            </w:r>
          </w:p>
        </w:tc>
      </w:tr>
      <w:tr>
        <w:tc>
          <w:tcPr>
            <w:tcW w:type="dxa" w:w="2448"/>
            <w:vAlign w:val="top"/>
          </w:tcPr>
          <w:p>
            <w:pPr>
              <w:spacing w:after="40" w:before="0"/>
            </w:pPr>
            <w:r>
              <w:rPr>
                <w:sz w:val="17"/>
              </w:rPr>
            </w:r>
            <w:r>
              <w:rPr>
                <w:b w:val="0"/>
                <w:sz w:val="17"/>
              </w:rPr>
              <w:t>Government Ownership</w:t>
            </w:r>
          </w:p>
        </w:tc>
        <w:tc>
          <w:tcPr>
            <w:tcW w:type="dxa" w:w="6912"/>
            <w:vAlign w:val="top"/>
          </w:tcPr>
          <w:p>
            <w:pPr>
              <w:spacing w:after="40" w:before="0"/>
            </w:pPr>
            <w:r>
              <w:rPr>
                <w:sz w:val="17"/>
              </w:rPr>
            </w:r>
            <w:r>
              <w:rPr>
                <w:b w:val="0"/>
                <w:sz w:val="17"/>
              </w:rPr>
              <w:t>Primary beneficiary ministry, secondary beneficiary ministries, implementing agency, regulator</w:t>
            </w:r>
          </w:p>
        </w:tc>
      </w:tr>
      <w:tr>
        <w:tc>
          <w:tcPr>
            <w:tcW w:type="dxa" w:w="2448"/>
            <w:vAlign w:val="top"/>
          </w:tcPr>
          <w:p>
            <w:pPr>
              <w:spacing w:after="40" w:before="0"/>
            </w:pPr>
            <w:r>
              <w:rPr>
                <w:sz w:val="17"/>
              </w:rPr>
            </w:r>
            <w:r>
              <w:rPr>
                <w:b w:val="0"/>
                <w:sz w:val="17"/>
              </w:rPr>
              <w:t>Investment Details</w:t>
            </w:r>
          </w:p>
        </w:tc>
        <w:tc>
          <w:tcPr>
            <w:tcW w:type="dxa" w:w="6912"/>
            <w:vAlign w:val="top"/>
          </w:tcPr>
          <w:p>
            <w:pPr>
              <w:spacing w:after="40" w:before="0"/>
            </w:pPr>
            <w:r>
              <w:rPr>
                <w:sz w:val="17"/>
              </w:rPr>
            </w:r>
            <w:r>
              <w:rPr>
                <w:b w:val="0"/>
                <w:sz w:val="17"/>
              </w:rPr>
              <w:t>Capital required, financing type, ticket size, PPP/BOT/BLMT/equity/debt/grant structure</w:t>
            </w:r>
          </w:p>
        </w:tc>
      </w:tr>
      <w:tr>
        <w:tc>
          <w:tcPr>
            <w:tcW w:type="dxa" w:w="2448"/>
            <w:vAlign w:val="top"/>
          </w:tcPr>
          <w:p>
            <w:pPr>
              <w:spacing w:after="40" w:before="0"/>
            </w:pPr>
            <w:r>
              <w:rPr>
                <w:sz w:val="17"/>
              </w:rPr>
            </w:r>
            <w:r>
              <w:rPr>
                <w:b w:val="0"/>
                <w:sz w:val="17"/>
              </w:rPr>
              <w:t>Project Readiness</w:t>
            </w:r>
          </w:p>
        </w:tc>
        <w:tc>
          <w:tcPr>
            <w:tcW w:type="dxa" w:w="6912"/>
            <w:vAlign w:val="top"/>
          </w:tcPr>
          <w:p>
            <w:pPr>
              <w:spacing w:after="40" w:before="0"/>
            </w:pPr>
            <w:r>
              <w:rPr>
                <w:sz w:val="17"/>
              </w:rPr>
            </w:r>
            <w:r>
              <w:rPr>
                <w:b w:val="0"/>
                <w:sz w:val="17"/>
              </w:rPr>
              <w:t>Concept, feasibility completed, EIA completed, shovel-ready, under development</w:t>
            </w:r>
          </w:p>
        </w:tc>
      </w:tr>
      <w:tr>
        <w:tc>
          <w:tcPr>
            <w:tcW w:type="dxa" w:w="2448"/>
            <w:vAlign w:val="top"/>
          </w:tcPr>
          <w:p>
            <w:pPr>
              <w:spacing w:after="40" w:before="0"/>
            </w:pPr>
            <w:r>
              <w:rPr>
                <w:sz w:val="17"/>
              </w:rPr>
            </w:r>
            <w:r>
              <w:rPr>
                <w:b w:val="0"/>
                <w:sz w:val="17"/>
              </w:rPr>
              <w:t>Financial Indicators</w:t>
            </w:r>
          </w:p>
        </w:tc>
        <w:tc>
          <w:tcPr>
            <w:tcW w:type="dxa" w:w="6912"/>
            <w:vAlign w:val="top"/>
          </w:tcPr>
          <w:p>
            <w:pPr>
              <w:spacing w:after="40" w:before="0"/>
            </w:pPr>
            <w:r>
              <w:rPr>
                <w:sz w:val="17"/>
              </w:rPr>
            </w:r>
            <w:r>
              <w:rPr>
                <w:b w:val="0"/>
                <w:sz w:val="17"/>
              </w:rPr>
              <w:t>Projected revenue, IRR, NPV, ROI, payback period where available</w:t>
            </w:r>
          </w:p>
        </w:tc>
      </w:tr>
      <w:tr>
        <w:tc>
          <w:tcPr>
            <w:tcW w:type="dxa" w:w="2448"/>
            <w:vAlign w:val="top"/>
          </w:tcPr>
          <w:p>
            <w:pPr>
              <w:spacing w:after="40" w:before="0"/>
            </w:pPr>
            <w:r>
              <w:rPr>
                <w:sz w:val="17"/>
              </w:rPr>
            </w:r>
            <w:r>
              <w:rPr>
                <w:b w:val="0"/>
                <w:sz w:val="17"/>
              </w:rPr>
              <w:t>Development Impact</w:t>
            </w:r>
          </w:p>
        </w:tc>
        <w:tc>
          <w:tcPr>
            <w:tcW w:type="dxa" w:w="6912"/>
            <w:vAlign w:val="top"/>
          </w:tcPr>
          <w:p>
            <w:pPr>
              <w:spacing w:after="40" w:before="0"/>
            </w:pPr>
            <w:r>
              <w:rPr>
                <w:sz w:val="17"/>
              </w:rPr>
            </w:r>
            <w:r>
              <w:rPr>
                <w:b w:val="0"/>
                <w:sz w:val="17"/>
              </w:rPr>
              <w:t>Jobs, export potential, local value addition, climate impact, regional impact</w:t>
            </w:r>
          </w:p>
        </w:tc>
      </w:tr>
      <w:tr>
        <w:tc>
          <w:tcPr>
            <w:tcW w:type="dxa" w:w="2448"/>
            <w:vAlign w:val="top"/>
          </w:tcPr>
          <w:p>
            <w:pPr>
              <w:spacing w:after="40" w:before="0"/>
            </w:pPr>
            <w:r>
              <w:rPr>
                <w:sz w:val="17"/>
              </w:rPr>
            </w:r>
            <w:r>
              <w:rPr>
                <w:b w:val="0"/>
                <w:sz w:val="17"/>
              </w:rPr>
              <w:t>Investor Engagement</w:t>
            </w:r>
          </w:p>
        </w:tc>
        <w:tc>
          <w:tcPr>
            <w:tcW w:type="dxa" w:w="6912"/>
            <w:vAlign w:val="top"/>
          </w:tcPr>
          <w:p>
            <w:pPr>
              <w:spacing w:after="40" w:before="0"/>
            </w:pPr>
            <w:r>
              <w:rPr>
                <w:sz w:val="17"/>
              </w:rPr>
            </w:r>
            <w:r>
              <w:rPr>
                <w:b w:val="0"/>
                <w:sz w:val="17"/>
              </w:rPr>
              <w:t>Submit interest, request meeting, request documents, contact route</w:t>
            </w:r>
          </w:p>
        </w:tc>
      </w:tr>
      <w:tr>
        <w:tc>
          <w:tcPr>
            <w:tcW w:type="dxa" w:w="2448"/>
            <w:vAlign w:val="top"/>
          </w:tcPr>
          <w:p>
            <w:pPr>
              <w:spacing w:after="40" w:before="0"/>
            </w:pPr>
            <w:r>
              <w:rPr>
                <w:sz w:val="17"/>
              </w:rPr>
            </w:r>
            <w:r>
              <w:rPr>
                <w:b w:val="0"/>
                <w:sz w:val="17"/>
              </w:rPr>
              <w:t>Documents</w:t>
            </w:r>
          </w:p>
        </w:tc>
        <w:tc>
          <w:tcPr>
            <w:tcW w:type="dxa" w:w="6912"/>
            <w:vAlign w:val="top"/>
          </w:tcPr>
          <w:p>
            <w:pPr>
              <w:spacing w:after="40" w:before="0"/>
            </w:pPr>
            <w:r>
              <w:rPr>
                <w:sz w:val="17"/>
              </w:rPr>
            </w:r>
            <w:r>
              <w:rPr>
                <w:b w:val="0"/>
                <w:sz w:val="17"/>
              </w:rPr>
              <w:t>Project brief, feasibility summary, EIA summary, investor pack, supporting documents</w:t>
            </w:r>
          </w:p>
        </w:tc>
      </w:tr>
      <w:tr>
        <w:tc>
          <w:tcPr>
            <w:tcW w:type="dxa" w:w="2448"/>
            <w:vAlign w:val="top"/>
          </w:tcPr>
          <w:p>
            <w:pPr>
              <w:spacing w:after="40" w:before="0"/>
            </w:pPr>
            <w:r>
              <w:rPr>
                <w:sz w:val="17"/>
              </w:rPr>
            </w:r>
            <w:r>
              <w:rPr>
                <w:b w:val="0"/>
                <w:sz w:val="17"/>
              </w:rPr>
              <w:t>Workflow Status</w:t>
            </w:r>
          </w:p>
        </w:tc>
        <w:tc>
          <w:tcPr>
            <w:tcW w:type="dxa" w:w="6912"/>
            <w:vAlign w:val="top"/>
          </w:tcPr>
          <w:p>
            <w:pPr>
              <w:spacing w:after="40" w:before="0"/>
            </w:pPr>
            <w:r>
              <w:rPr>
                <w:sz w:val="17"/>
              </w:rPr>
            </w:r>
            <w:r>
              <w:rPr>
                <w:b w:val="0"/>
                <w:sz w:val="17"/>
              </w:rPr>
              <w:t>Draft, submitted for review, under review, changes requested, approved, published, archived</w:t>
            </w:r>
          </w:p>
        </w:tc>
      </w:tr>
      <w:tr>
        <w:tc>
          <w:tcPr>
            <w:tcW w:type="dxa" w:w="2448"/>
            <w:vAlign w:val="top"/>
          </w:tcPr>
          <w:p>
            <w:pPr>
              <w:spacing w:after="40" w:before="0"/>
            </w:pPr>
            <w:r>
              <w:rPr>
                <w:sz w:val="17"/>
              </w:rPr>
            </w:r>
            <w:r>
              <w:rPr>
                <w:b w:val="0"/>
                <w:sz w:val="17"/>
              </w:rPr>
              <w:t>Visibility Level</w:t>
            </w:r>
          </w:p>
        </w:tc>
        <w:tc>
          <w:tcPr>
            <w:tcW w:type="dxa" w:w="6912"/>
            <w:vAlign w:val="top"/>
          </w:tcPr>
          <w:p>
            <w:pPr>
              <w:spacing w:after="40" w:before="0"/>
            </w:pPr>
            <w:r>
              <w:rPr>
                <w:sz w:val="17"/>
              </w:rPr>
            </w:r>
            <w:r>
              <w:rPr>
                <w:b w:val="0"/>
                <w:sz w:val="17"/>
              </w:rPr>
              <w:t>Public, registered users only, qualified investors only, admin-only</w:t>
            </w:r>
          </w:p>
        </w:tc>
      </w:tr>
      <w:tr>
        <w:tc>
          <w:tcPr>
            <w:tcW w:type="dxa" w:w="2448"/>
            <w:vAlign w:val="top"/>
          </w:tcPr>
          <w:p>
            <w:pPr>
              <w:spacing w:after="40" w:before="0"/>
            </w:pPr>
            <w:r>
              <w:rPr>
                <w:sz w:val="17"/>
              </w:rPr>
            </w:r>
            <w:r>
              <w:rPr>
                <w:b w:val="0"/>
                <w:sz w:val="17"/>
              </w:rPr>
              <w:t>Governance Metadata</w:t>
            </w:r>
          </w:p>
        </w:tc>
        <w:tc>
          <w:tcPr>
            <w:tcW w:type="dxa" w:w="6912"/>
            <w:vAlign w:val="top"/>
          </w:tcPr>
          <w:p>
            <w:pPr>
              <w:spacing w:after="40" w:before="0"/>
            </w:pPr>
            <w:r>
              <w:rPr>
                <w:sz w:val="17"/>
              </w:rPr>
            </w:r>
            <w:r>
              <w:rPr>
                <w:b w:val="0"/>
                <w:sz w:val="17"/>
              </w:rPr>
              <w:t>Approved by, published by, last updated, source reference, verification status, reviewer notes</w:t>
            </w:r>
          </w:p>
        </w:tc>
      </w:tr>
    </w:tbl>
    <w:p>
      <w:pPr>
        <w:pStyle w:val="Heading1"/>
      </w:pPr>
      <w:r>
        <w:rPr>
          <w:color w:val="145A32"/>
        </w:rPr>
        <w:t>6. Project Governance, Review and Publishing Control</w:t>
      </w:r>
    </w:p>
    <w:p>
      <w:pPr>
        <w:spacing w:after="120"/>
      </w:pPr>
      <w:r>
        <w:t>To preserve credibility, accuracy, and institutional alignment, all investment projects created within the platform should follow a standardized project submission, review, approval, and publishing workflow.</w:t>
      </w:r>
    </w:p>
    <w:p>
      <w:pPr>
        <w:spacing w:after="120"/>
      </w:pPr>
      <w:r>
        <w:t>No project should be published directly without review and approval by authorized users. This governance gate is essential to prevent data drift, incomplete submissions, misclassification, duplication, financial inconsistencies, institutional misalignment, or publication of projects that have not been validated by the appropriate authority.</w:t>
      </w:r>
    </w:p>
    <w:p>
      <w:pPr>
        <w:spacing w:after="120"/>
      </w:pPr>
      <w:r>
        <w:t>Each project should be created using a structured project template requiring completion of all mandatory fields before submission for review. The template should include, at minimum, project title, sector, strategic pillar, SDG mapping, beneficiary ministry, project owner, location, capital requirement, financing structure, project readiness, financial indicators, project description, development impact, supporting documents, and visibility level.</w:t>
      </w:r>
    </w:p>
    <w:tbl>
      <w:tblPr>
        <w:tblStyle w:val="TableGrid"/>
        <w:tblW w:type="auto" w:w="0"/>
        <w:jc w:val="center"/>
        <w:tblLook w:firstColumn="1" w:firstRow="1" w:lastColumn="0" w:lastRow="0" w:noHBand="0" w:noVBand="1" w:val="04A0"/>
      </w:tblPr>
      <w:tblGrid>
        <w:gridCol w:w="5184"/>
        <w:gridCol w:w="5184"/>
      </w:tblGrid>
      <w:tr>
        <w:tc>
          <w:tcPr>
            <w:tcW w:type="dxa" w:w="2592"/>
            <w:shd w:fill="145A32"/>
            <w:vAlign w:val="top"/>
          </w:tcPr>
          <w:p>
            <w:pPr>
              <w:spacing w:after="40" w:before="0"/>
            </w:pPr>
            <w:r>
              <w:rPr>
                <w:sz w:val="17"/>
              </w:rPr>
            </w:r>
            <w:r>
              <w:rPr>
                <w:b/>
                <w:color w:val="FFFFFF"/>
                <w:sz w:val="17"/>
              </w:rPr>
              <w:t>Project State</w:t>
            </w:r>
          </w:p>
        </w:tc>
        <w:tc>
          <w:tcPr>
            <w:tcW w:type="dxa" w:w="6768"/>
            <w:shd w:fill="145A32"/>
            <w:vAlign w:val="top"/>
          </w:tcPr>
          <w:p>
            <w:pPr>
              <w:spacing w:after="40" w:before="0"/>
            </w:pPr>
            <w:r>
              <w:rPr>
                <w:sz w:val="17"/>
              </w:rPr>
            </w:r>
            <w:r>
              <w:rPr>
                <w:b/>
                <w:color w:val="FFFFFF"/>
                <w:sz w:val="17"/>
              </w:rPr>
              <w:t>Description</w:t>
            </w:r>
          </w:p>
        </w:tc>
      </w:tr>
      <w:tr>
        <w:tc>
          <w:tcPr>
            <w:tcW w:type="dxa" w:w="2592"/>
            <w:vAlign w:val="top"/>
          </w:tcPr>
          <w:p>
            <w:pPr>
              <w:spacing w:after="40" w:before="0"/>
            </w:pPr>
            <w:r>
              <w:rPr>
                <w:sz w:val="17"/>
              </w:rPr>
            </w:r>
            <w:r>
              <w:rPr>
                <w:b w:val="0"/>
                <w:sz w:val="17"/>
              </w:rPr>
              <w:t>Draft</w:t>
            </w:r>
          </w:p>
        </w:tc>
        <w:tc>
          <w:tcPr>
            <w:tcW w:type="dxa" w:w="6768"/>
            <w:vAlign w:val="top"/>
          </w:tcPr>
          <w:p>
            <w:pPr>
              <w:spacing w:after="40" w:before="0"/>
            </w:pPr>
            <w:r>
              <w:rPr>
                <w:sz w:val="17"/>
              </w:rPr>
            </w:r>
            <w:r>
              <w:rPr>
                <w:b w:val="0"/>
                <w:sz w:val="17"/>
              </w:rPr>
              <w:t>Project is being prepared and is not visible publicly</w:t>
            </w:r>
          </w:p>
        </w:tc>
      </w:tr>
      <w:tr>
        <w:tc>
          <w:tcPr>
            <w:tcW w:type="dxa" w:w="2592"/>
            <w:vAlign w:val="top"/>
          </w:tcPr>
          <w:p>
            <w:pPr>
              <w:spacing w:after="40" w:before="0"/>
            </w:pPr>
            <w:r>
              <w:rPr>
                <w:sz w:val="17"/>
              </w:rPr>
            </w:r>
            <w:r>
              <w:rPr>
                <w:b w:val="0"/>
                <w:sz w:val="17"/>
              </w:rPr>
              <w:t>Submitted for Review</w:t>
            </w:r>
          </w:p>
        </w:tc>
        <w:tc>
          <w:tcPr>
            <w:tcW w:type="dxa" w:w="6768"/>
            <w:vAlign w:val="top"/>
          </w:tcPr>
          <w:p>
            <w:pPr>
              <w:spacing w:after="40" w:before="0"/>
            </w:pPr>
            <w:r>
              <w:rPr>
                <w:sz w:val="17"/>
              </w:rPr>
            </w:r>
            <w:r>
              <w:rPr>
                <w:b w:val="0"/>
                <w:sz w:val="17"/>
              </w:rPr>
              <w:t>Project creator has completed the required template and submitted it for review</w:t>
            </w:r>
          </w:p>
        </w:tc>
      </w:tr>
      <w:tr>
        <w:tc>
          <w:tcPr>
            <w:tcW w:type="dxa" w:w="2592"/>
            <w:vAlign w:val="top"/>
          </w:tcPr>
          <w:p>
            <w:pPr>
              <w:spacing w:after="40" w:before="0"/>
            </w:pPr>
            <w:r>
              <w:rPr>
                <w:sz w:val="17"/>
              </w:rPr>
            </w:r>
            <w:r>
              <w:rPr>
                <w:b w:val="0"/>
                <w:sz w:val="17"/>
              </w:rPr>
              <w:t>Under Review</w:t>
            </w:r>
          </w:p>
        </w:tc>
        <w:tc>
          <w:tcPr>
            <w:tcW w:type="dxa" w:w="6768"/>
            <w:vAlign w:val="top"/>
          </w:tcPr>
          <w:p>
            <w:pPr>
              <w:spacing w:after="40" w:before="0"/>
            </w:pPr>
            <w:r>
              <w:rPr>
                <w:sz w:val="17"/>
              </w:rPr>
            </w:r>
            <w:r>
              <w:rPr>
                <w:b w:val="0"/>
                <w:sz w:val="17"/>
              </w:rPr>
              <w:t>Authorized reviewer is validating completeness, classification, institutional alignment, and supporting information</w:t>
            </w:r>
          </w:p>
        </w:tc>
      </w:tr>
      <w:tr>
        <w:tc>
          <w:tcPr>
            <w:tcW w:type="dxa" w:w="2592"/>
            <w:vAlign w:val="top"/>
          </w:tcPr>
          <w:p>
            <w:pPr>
              <w:spacing w:after="40" w:before="0"/>
            </w:pPr>
            <w:r>
              <w:rPr>
                <w:sz w:val="17"/>
              </w:rPr>
            </w:r>
            <w:r>
              <w:rPr>
                <w:b w:val="0"/>
                <w:sz w:val="17"/>
              </w:rPr>
              <w:t>Changes Requested</w:t>
            </w:r>
          </w:p>
        </w:tc>
        <w:tc>
          <w:tcPr>
            <w:tcW w:type="dxa" w:w="6768"/>
            <w:vAlign w:val="top"/>
          </w:tcPr>
          <w:p>
            <w:pPr>
              <w:spacing w:after="40" w:before="0"/>
            </w:pPr>
            <w:r>
              <w:rPr>
                <w:sz w:val="17"/>
              </w:rPr>
            </w:r>
            <w:r>
              <w:rPr>
                <w:b w:val="0"/>
                <w:sz w:val="17"/>
              </w:rPr>
              <w:t>Reviewer has returned the project for correction or additional information</w:t>
            </w:r>
          </w:p>
        </w:tc>
      </w:tr>
      <w:tr>
        <w:tc>
          <w:tcPr>
            <w:tcW w:type="dxa" w:w="2592"/>
            <w:vAlign w:val="top"/>
          </w:tcPr>
          <w:p>
            <w:pPr>
              <w:spacing w:after="40" w:before="0"/>
            </w:pPr>
            <w:r>
              <w:rPr>
                <w:sz w:val="17"/>
              </w:rPr>
            </w:r>
            <w:r>
              <w:rPr>
                <w:b w:val="0"/>
                <w:sz w:val="17"/>
              </w:rPr>
              <w:t>Approved</w:t>
            </w:r>
          </w:p>
        </w:tc>
        <w:tc>
          <w:tcPr>
            <w:tcW w:type="dxa" w:w="6768"/>
            <w:vAlign w:val="top"/>
          </w:tcPr>
          <w:p>
            <w:pPr>
              <w:spacing w:after="40" w:before="0"/>
            </w:pPr>
            <w:r>
              <w:rPr>
                <w:sz w:val="17"/>
              </w:rPr>
            </w:r>
            <w:r>
              <w:rPr>
                <w:b w:val="0"/>
                <w:sz w:val="17"/>
              </w:rPr>
              <w:t>Project has been validated and cleared for publication</w:t>
            </w:r>
          </w:p>
        </w:tc>
      </w:tr>
      <w:tr>
        <w:tc>
          <w:tcPr>
            <w:tcW w:type="dxa" w:w="2592"/>
            <w:vAlign w:val="top"/>
          </w:tcPr>
          <w:p>
            <w:pPr>
              <w:spacing w:after="40" w:before="0"/>
            </w:pPr>
            <w:r>
              <w:rPr>
                <w:sz w:val="17"/>
              </w:rPr>
            </w:r>
            <w:r>
              <w:rPr>
                <w:b w:val="0"/>
                <w:sz w:val="17"/>
              </w:rPr>
              <w:t>Published</w:t>
            </w:r>
          </w:p>
        </w:tc>
        <w:tc>
          <w:tcPr>
            <w:tcW w:type="dxa" w:w="6768"/>
            <w:vAlign w:val="top"/>
          </w:tcPr>
          <w:p>
            <w:pPr>
              <w:spacing w:after="40" w:before="0"/>
            </w:pPr>
            <w:r>
              <w:rPr>
                <w:sz w:val="17"/>
              </w:rPr>
            </w:r>
            <w:r>
              <w:rPr>
                <w:b w:val="0"/>
                <w:sz w:val="17"/>
              </w:rPr>
              <w:t>Project is visible according to its assigned visibility level</w:t>
            </w:r>
          </w:p>
        </w:tc>
      </w:tr>
      <w:tr>
        <w:tc>
          <w:tcPr>
            <w:tcW w:type="dxa" w:w="2592"/>
            <w:vAlign w:val="top"/>
          </w:tcPr>
          <w:p>
            <w:pPr>
              <w:spacing w:after="40" w:before="0"/>
            </w:pPr>
            <w:r>
              <w:rPr>
                <w:sz w:val="17"/>
              </w:rPr>
            </w:r>
            <w:r>
              <w:rPr>
                <w:b w:val="0"/>
                <w:sz w:val="17"/>
              </w:rPr>
              <w:t>Archived</w:t>
            </w:r>
          </w:p>
        </w:tc>
        <w:tc>
          <w:tcPr>
            <w:tcW w:type="dxa" w:w="6768"/>
            <w:vAlign w:val="top"/>
          </w:tcPr>
          <w:p>
            <w:pPr>
              <w:spacing w:after="40" w:before="0"/>
            </w:pPr>
            <w:r>
              <w:rPr>
                <w:sz w:val="17"/>
              </w:rPr>
            </w:r>
            <w:r>
              <w:rPr>
                <w:b w:val="0"/>
                <w:sz w:val="17"/>
              </w:rPr>
              <w:t>Project is no longer active or has been removed from public visibility</w:t>
            </w:r>
          </w:p>
        </w:tc>
      </w:tr>
    </w:tbl>
    <w:p>
      <w:pPr>
        <w:spacing w:after="120"/>
      </w:pPr>
      <w:r>
        <w:t>The platform should support role-based approval rights. Project owners, ministry users, or investment authority users may create or submit project records, but only authorized approvers should be able to approve and publish projects. Afronovation, as platform owner and super admin, retains ultimate platform-level control over publishing rules, workflow configuration, taxonomy management, user entitlements, and system integrity.</w:t>
      </w:r>
    </w:p>
    <w:p>
      <w:pPr>
        <w:pStyle w:val="Heading1"/>
      </w:pPr>
      <w:r>
        <w:rPr>
          <w:color w:val="145A32"/>
        </w:rPr>
        <w:t>7. Lead Capture, Registration and Investor Conversion</w:t>
      </w:r>
    </w:p>
    <w:p>
      <w:pPr>
        <w:spacing w:after="120"/>
      </w:pPr>
      <w:r>
        <w:t>The platform should not function only as a public website. It should operate as an investment lead-capture and conversion system. Public visitors should be able to see enough information to understand Zimbabwe's opportunity landscape, while deeper details should encourage registration and investor qualification.</w:t>
      </w:r>
    </w:p>
    <w:tbl>
      <w:tblPr>
        <w:tblStyle w:val="TableGrid"/>
        <w:tblW w:type="auto" w:w="0"/>
        <w:jc w:val="center"/>
        <w:tblLook w:firstColumn="1" w:firstRow="1" w:lastColumn="0" w:lastRow="0" w:noHBand="0" w:noVBand="1" w:val="04A0"/>
      </w:tblPr>
      <w:tblGrid>
        <w:gridCol w:w="5184"/>
        <w:gridCol w:w="5184"/>
      </w:tblGrid>
      <w:tr>
        <w:tc>
          <w:tcPr>
            <w:tcW w:type="dxa" w:w="2592"/>
            <w:shd w:fill="145A32"/>
            <w:vAlign w:val="top"/>
          </w:tcPr>
          <w:p>
            <w:pPr>
              <w:spacing w:after="40" w:before="0"/>
            </w:pPr>
            <w:r>
              <w:rPr>
                <w:sz w:val="17"/>
              </w:rPr>
            </w:r>
            <w:r>
              <w:rPr>
                <w:b/>
                <w:color w:val="FFFFFF"/>
                <w:sz w:val="17"/>
              </w:rPr>
              <w:t>User State</w:t>
            </w:r>
          </w:p>
        </w:tc>
        <w:tc>
          <w:tcPr>
            <w:tcW w:type="dxa" w:w="6768"/>
            <w:shd w:fill="145A32"/>
            <w:vAlign w:val="top"/>
          </w:tcPr>
          <w:p>
            <w:pPr>
              <w:spacing w:after="40" w:before="0"/>
            </w:pPr>
            <w:r>
              <w:rPr>
                <w:sz w:val="17"/>
              </w:rPr>
            </w:r>
            <w:r>
              <w:rPr>
                <w:b/>
                <w:color w:val="FFFFFF"/>
                <w:sz w:val="17"/>
              </w:rPr>
              <w:t>Access Level</w:t>
            </w:r>
          </w:p>
        </w:tc>
      </w:tr>
      <w:tr>
        <w:tc>
          <w:tcPr>
            <w:tcW w:type="dxa" w:w="2592"/>
            <w:vAlign w:val="top"/>
          </w:tcPr>
          <w:p>
            <w:pPr>
              <w:spacing w:after="40" w:before="0"/>
            </w:pPr>
            <w:r>
              <w:rPr>
                <w:sz w:val="17"/>
              </w:rPr>
            </w:r>
            <w:r>
              <w:rPr>
                <w:b w:val="0"/>
                <w:sz w:val="17"/>
              </w:rPr>
              <w:t>Public Visitor</w:t>
            </w:r>
          </w:p>
        </w:tc>
        <w:tc>
          <w:tcPr>
            <w:tcW w:type="dxa" w:w="6768"/>
            <w:vAlign w:val="top"/>
          </w:tcPr>
          <w:p>
            <w:pPr>
              <w:spacing w:after="40" w:before="0"/>
            </w:pPr>
            <w:r>
              <w:rPr>
                <w:sz w:val="17"/>
              </w:rPr>
            </w:r>
            <w:r>
              <w:rPr>
                <w:b w:val="0"/>
                <w:sz w:val="17"/>
              </w:rPr>
              <w:t>Views country overview, sector pages, high-level project cards, and basic opportunity summaries</w:t>
            </w:r>
          </w:p>
        </w:tc>
      </w:tr>
      <w:tr>
        <w:tc>
          <w:tcPr>
            <w:tcW w:type="dxa" w:w="2592"/>
            <w:vAlign w:val="top"/>
          </w:tcPr>
          <w:p>
            <w:pPr>
              <w:spacing w:after="40" w:before="0"/>
            </w:pPr>
            <w:r>
              <w:rPr>
                <w:sz w:val="17"/>
              </w:rPr>
            </w:r>
            <w:r>
              <w:rPr>
                <w:b w:val="0"/>
                <w:sz w:val="17"/>
              </w:rPr>
              <w:t>Registered Visitor / Investor</w:t>
            </w:r>
          </w:p>
        </w:tc>
        <w:tc>
          <w:tcPr>
            <w:tcW w:type="dxa" w:w="6768"/>
            <w:vAlign w:val="top"/>
          </w:tcPr>
          <w:p>
            <w:pPr>
              <w:spacing w:after="40" w:before="0"/>
            </w:pPr>
            <w:r>
              <w:rPr>
                <w:sz w:val="17"/>
              </w:rPr>
            </w:r>
            <w:r>
              <w:rPr>
                <w:b w:val="0"/>
                <w:sz w:val="17"/>
              </w:rPr>
              <w:t>Views expanded project summaries, SDG mapping, ministry alignment, and additional project information</w:t>
            </w:r>
          </w:p>
        </w:tc>
      </w:tr>
      <w:tr>
        <w:tc>
          <w:tcPr>
            <w:tcW w:type="dxa" w:w="2592"/>
            <w:vAlign w:val="top"/>
          </w:tcPr>
          <w:p>
            <w:pPr>
              <w:spacing w:after="40" w:before="0"/>
            </w:pPr>
            <w:r>
              <w:rPr>
                <w:sz w:val="17"/>
              </w:rPr>
            </w:r>
            <w:r>
              <w:rPr>
                <w:b w:val="0"/>
                <w:sz w:val="17"/>
              </w:rPr>
              <w:t>Qualified Investor / Strategic Partner</w:t>
            </w:r>
          </w:p>
        </w:tc>
        <w:tc>
          <w:tcPr>
            <w:tcW w:type="dxa" w:w="6768"/>
            <w:vAlign w:val="top"/>
          </w:tcPr>
          <w:p>
            <w:pPr>
              <w:spacing w:after="40" w:before="0"/>
            </w:pPr>
            <w:r>
              <w:rPr>
                <w:sz w:val="17"/>
              </w:rPr>
            </w:r>
            <w:r>
              <w:rPr>
                <w:b w:val="0"/>
                <w:sz w:val="17"/>
              </w:rPr>
              <w:t>Requests investor packs, feasibility summaries, project documents, meetings, and follow-up engagement</w:t>
            </w:r>
          </w:p>
        </w:tc>
      </w:tr>
      <w:tr>
        <w:tc>
          <w:tcPr>
            <w:tcW w:type="dxa" w:w="2592"/>
            <w:vAlign w:val="top"/>
          </w:tcPr>
          <w:p>
            <w:pPr>
              <w:spacing w:after="40" w:before="0"/>
            </w:pPr>
            <w:r>
              <w:rPr>
                <w:sz w:val="17"/>
              </w:rPr>
            </w:r>
            <w:r>
              <w:rPr>
                <w:b w:val="0"/>
                <w:sz w:val="17"/>
              </w:rPr>
              <w:t>Institutional User</w:t>
            </w:r>
          </w:p>
        </w:tc>
        <w:tc>
          <w:tcPr>
            <w:tcW w:type="dxa" w:w="6768"/>
            <w:vAlign w:val="top"/>
          </w:tcPr>
          <w:p>
            <w:pPr>
              <w:spacing w:after="40" w:before="0"/>
            </w:pPr>
            <w:r>
              <w:rPr>
                <w:sz w:val="17"/>
              </w:rPr>
            </w:r>
            <w:r>
              <w:rPr>
                <w:b w:val="0"/>
                <w:sz w:val="17"/>
              </w:rPr>
              <w:t>Manages content, project submissions, review tasks, inquiries, or ministry-linked records based on role</w:t>
            </w:r>
          </w:p>
        </w:tc>
      </w:tr>
      <w:tr>
        <w:tc>
          <w:tcPr>
            <w:tcW w:type="dxa" w:w="2592"/>
            <w:vAlign w:val="top"/>
          </w:tcPr>
          <w:p>
            <w:pPr>
              <w:spacing w:after="40" w:before="0"/>
            </w:pPr>
            <w:r>
              <w:rPr>
                <w:sz w:val="17"/>
              </w:rPr>
            </w:r>
            <w:r>
              <w:rPr>
                <w:b w:val="0"/>
                <w:sz w:val="17"/>
              </w:rPr>
              <w:t>Afronovation Super Admin</w:t>
            </w:r>
          </w:p>
        </w:tc>
        <w:tc>
          <w:tcPr>
            <w:tcW w:type="dxa" w:w="6768"/>
            <w:vAlign w:val="top"/>
          </w:tcPr>
          <w:p>
            <w:pPr>
              <w:spacing w:after="40" w:before="0"/>
            </w:pPr>
            <w:r>
              <w:rPr>
                <w:sz w:val="17"/>
              </w:rPr>
            </w:r>
            <w:r>
              <w:rPr>
                <w:b w:val="0"/>
                <w:sz w:val="17"/>
              </w:rPr>
              <w:t>Full platform control, tenant configuration, taxonomies, entitlements, publishing rules, and analytics</w:t>
            </w:r>
          </w:p>
        </w:tc>
      </w:tr>
    </w:tbl>
    <w:p>
      <w:pPr>
        <w:spacing w:after="120"/>
      </w:pPr>
      <w:r>
        <w:t>The contact page should include a reason-for-contact field to support routing and segmentation, including investment opportunity, project partnership, government or institutional inquiry, diaspora investment, DFI inquiry, technical partnership, tourism inquiry, media or press, general question, and other.</w:t>
      </w:r>
    </w:p>
    <w:p>
      <w:pPr>
        <w:pStyle w:val="Heading1"/>
      </w:pPr>
      <w:r>
        <w:rPr>
          <w:color w:val="145A32"/>
        </w:rPr>
        <w:t>8. Personas and Entitlement Design</w:t>
      </w:r>
    </w:p>
    <w:p>
      <w:pPr>
        <w:spacing w:after="120"/>
      </w:pPr>
      <w:r>
        <w:t>A proper entitlement design is necessary because the platform serves multiple user groups with different levels of authority, access, and institutional responsibility.</w:t>
      </w:r>
    </w:p>
    <w:tbl>
      <w:tblPr>
        <w:tblStyle w:val="TableGrid"/>
        <w:tblW w:type="auto" w:w="0"/>
        <w:jc w:val="center"/>
        <w:tblLook w:firstColumn="1" w:firstRow="1" w:lastColumn="0" w:lastRow="0" w:noHBand="0" w:noVBand="1" w:val="04A0"/>
      </w:tblPr>
      <w:tblGrid>
        <w:gridCol w:w="5184"/>
        <w:gridCol w:w="5184"/>
      </w:tblGrid>
      <w:tr>
        <w:tc>
          <w:tcPr>
            <w:tcW w:type="dxa" w:w="3024"/>
            <w:shd w:fill="145A32"/>
            <w:vAlign w:val="top"/>
          </w:tcPr>
          <w:p>
            <w:pPr>
              <w:spacing w:after="40" w:before="0"/>
            </w:pPr>
            <w:r>
              <w:rPr>
                <w:sz w:val="17"/>
              </w:rPr>
            </w:r>
            <w:r>
              <w:rPr>
                <w:b/>
                <w:color w:val="FFFFFF"/>
                <w:sz w:val="17"/>
              </w:rPr>
              <w:t>Persona</w:t>
            </w:r>
          </w:p>
        </w:tc>
        <w:tc>
          <w:tcPr>
            <w:tcW w:type="dxa" w:w="6336"/>
            <w:shd w:fill="145A32"/>
            <w:vAlign w:val="top"/>
          </w:tcPr>
          <w:p>
            <w:pPr>
              <w:spacing w:after="40" w:before="0"/>
            </w:pPr>
            <w:r>
              <w:rPr>
                <w:sz w:val="17"/>
              </w:rPr>
            </w:r>
            <w:r>
              <w:rPr>
                <w:b/>
                <w:color w:val="FFFFFF"/>
                <w:sz w:val="17"/>
              </w:rPr>
              <w:t>Primary Role in Platform</w:t>
            </w:r>
          </w:p>
        </w:tc>
      </w:tr>
      <w:tr>
        <w:tc>
          <w:tcPr>
            <w:tcW w:type="dxa" w:w="3024"/>
            <w:vAlign w:val="top"/>
          </w:tcPr>
          <w:p>
            <w:pPr>
              <w:spacing w:after="40" w:before="0"/>
            </w:pPr>
            <w:r>
              <w:rPr>
                <w:sz w:val="17"/>
              </w:rPr>
            </w:r>
            <w:r>
              <w:rPr>
                <w:b w:val="0"/>
                <w:sz w:val="17"/>
              </w:rPr>
              <w:t>Public Visitor</w:t>
            </w:r>
          </w:p>
        </w:tc>
        <w:tc>
          <w:tcPr>
            <w:tcW w:type="dxa" w:w="6336"/>
            <w:vAlign w:val="top"/>
          </w:tcPr>
          <w:p>
            <w:pPr>
              <w:spacing w:after="40" w:before="0"/>
            </w:pPr>
            <w:r>
              <w:rPr>
                <w:sz w:val="17"/>
              </w:rPr>
            </w:r>
            <w:r>
              <w:rPr>
                <w:b w:val="0"/>
                <w:sz w:val="17"/>
              </w:rPr>
              <w:t>Explores high-level opportunities and is encouraged to register</w:t>
            </w:r>
          </w:p>
        </w:tc>
      </w:tr>
      <w:tr>
        <w:tc>
          <w:tcPr>
            <w:tcW w:type="dxa" w:w="3024"/>
            <w:vAlign w:val="top"/>
          </w:tcPr>
          <w:p>
            <w:pPr>
              <w:spacing w:after="40" w:before="0"/>
            </w:pPr>
            <w:r>
              <w:rPr>
                <w:sz w:val="17"/>
              </w:rPr>
            </w:r>
            <w:r>
              <w:rPr>
                <w:b w:val="0"/>
                <w:sz w:val="17"/>
              </w:rPr>
              <w:t>Registered Investor</w:t>
            </w:r>
          </w:p>
        </w:tc>
        <w:tc>
          <w:tcPr>
            <w:tcW w:type="dxa" w:w="6336"/>
            <w:vAlign w:val="top"/>
          </w:tcPr>
          <w:p>
            <w:pPr>
              <w:spacing w:after="40" w:before="0"/>
            </w:pPr>
            <w:r>
              <w:rPr>
                <w:sz w:val="17"/>
              </w:rPr>
            </w:r>
            <w:r>
              <w:rPr>
                <w:b w:val="0"/>
                <w:sz w:val="17"/>
              </w:rPr>
              <w:t>Creates a profile, views expanded details, saves projects, and submits interest</w:t>
            </w:r>
          </w:p>
        </w:tc>
      </w:tr>
      <w:tr>
        <w:tc>
          <w:tcPr>
            <w:tcW w:type="dxa" w:w="3024"/>
            <w:vAlign w:val="top"/>
          </w:tcPr>
          <w:p>
            <w:pPr>
              <w:spacing w:after="40" w:before="0"/>
            </w:pPr>
            <w:r>
              <w:rPr>
                <w:sz w:val="17"/>
              </w:rPr>
            </w:r>
            <w:r>
              <w:rPr>
                <w:b w:val="0"/>
                <w:sz w:val="17"/>
              </w:rPr>
              <w:t>Qualified Investor / Strategic Partner</w:t>
            </w:r>
          </w:p>
        </w:tc>
        <w:tc>
          <w:tcPr>
            <w:tcW w:type="dxa" w:w="6336"/>
            <w:vAlign w:val="top"/>
          </w:tcPr>
          <w:p>
            <w:pPr>
              <w:spacing w:after="40" w:before="0"/>
            </w:pPr>
            <w:r>
              <w:rPr>
                <w:sz w:val="17"/>
              </w:rPr>
            </w:r>
            <w:r>
              <w:rPr>
                <w:b w:val="0"/>
                <w:sz w:val="17"/>
              </w:rPr>
              <w:t>Accesses deeper information and requests investor documents or meetings</w:t>
            </w:r>
          </w:p>
        </w:tc>
      </w:tr>
      <w:tr>
        <w:tc>
          <w:tcPr>
            <w:tcW w:type="dxa" w:w="3024"/>
            <w:vAlign w:val="top"/>
          </w:tcPr>
          <w:p>
            <w:pPr>
              <w:spacing w:after="40" w:before="0"/>
            </w:pPr>
            <w:r>
              <w:rPr>
                <w:sz w:val="17"/>
              </w:rPr>
            </w:r>
            <w:r>
              <w:rPr>
                <w:b w:val="0"/>
                <w:sz w:val="17"/>
              </w:rPr>
              <w:t>Diaspora Investor</w:t>
            </w:r>
          </w:p>
        </w:tc>
        <w:tc>
          <w:tcPr>
            <w:tcW w:type="dxa" w:w="6336"/>
            <w:vAlign w:val="top"/>
          </w:tcPr>
          <w:p>
            <w:pPr>
              <w:spacing w:after="40" w:before="0"/>
            </w:pPr>
            <w:r>
              <w:rPr>
                <w:sz w:val="17"/>
              </w:rPr>
            </w:r>
            <w:r>
              <w:rPr>
                <w:b w:val="0"/>
                <w:sz w:val="17"/>
              </w:rPr>
              <w:t>Discovers diaspora-relevant opportunities and joins a targeted investment pipeline</w:t>
            </w:r>
          </w:p>
        </w:tc>
      </w:tr>
      <w:tr>
        <w:tc>
          <w:tcPr>
            <w:tcW w:type="dxa" w:w="3024"/>
            <w:vAlign w:val="top"/>
          </w:tcPr>
          <w:p>
            <w:pPr>
              <w:spacing w:after="40" w:before="0"/>
            </w:pPr>
            <w:r>
              <w:rPr>
                <w:sz w:val="17"/>
              </w:rPr>
            </w:r>
            <w:r>
              <w:rPr>
                <w:b w:val="0"/>
                <w:sz w:val="17"/>
              </w:rPr>
              <w:t>Project Owner</w:t>
            </w:r>
          </w:p>
        </w:tc>
        <w:tc>
          <w:tcPr>
            <w:tcW w:type="dxa" w:w="6336"/>
            <w:vAlign w:val="top"/>
          </w:tcPr>
          <w:p>
            <w:pPr>
              <w:spacing w:after="40" w:before="0"/>
            </w:pPr>
            <w:r>
              <w:rPr>
                <w:sz w:val="17"/>
              </w:rPr>
            </w:r>
            <w:r>
              <w:rPr>
                <w:b w:val="0"/>
                <w:sz w:val="17"/>
              </w:rPr>
              <w:t>Submits project data and supporting documents for review</w:t>
            </w:r>
          </w:p>
        </w:tc>
      </w:tr>
      <w:tr>
        <w:tc>
          <w:tcPr>
            <w:tcW w:type="dxa" w:w="3024"/>
            <w:vAlign w:val="top"/>
          </w:tcPr>
          <w:p>
            <w:pPr>
              <w:spacing w:after="40" w:before="0"/>
            </w:pPr>
            <w:r>
              <w:rPr>
                <w:sz w:val="17"/>
              </w:rPr>
            </w:r>
            <w:r>
              <w:rPr>
                <w:b w:val="0"/>
                <w:sz w:val="17"/>
              </w:rPr>
              <w:t>ZIDA / Investment Authority Admin</w:t>
            </w:r>
          </w:p>
        </w:tc>
        <w:tc>
          <w:tcPr>
            <w:tcW w:type="dxa" w:w="6336"/>
            <w:vAlign w:val="top"/>
          </w:tcPr>
          <w:p>
            <w:pPr>
              <w:spacing w:after="40" w:before="0"/>
            </w:pPr>
            <w:r>
              <w:rPr>
                <w:sz w:val="17"/>
              </w:rPr>
            </w:r>
            <w:r>
              <w:rPr>
                <w:b w:val="0"/>
                <w:sz w:val="17"/>
              </w:rPr>
              <w:t>Manages project records, classifications, inquiries, and publishing workflows according to rights</w:t>
            </w:r>
          </w:p>
        </w:tc>
      </w:tr>
      <w:tr>
        <w:tc>
          <w:tcPr>
            <w:tcW w:type="dxa" w:w="3024"/>
            <w:vAlign w:val="top"/>
          </w:tcPr>
          <w:p>
            <w:pPr>
              <w:spacing w:after="40" w:before="0"/>
            </w:pPr>
            <w:r>
              <w:rPr>
                <w:sz w:val="17"/>
              </w:rPr>
            </w:r>
            <w:r>
              <w:rPr>
                <w:b w:val="0"/>
                <w:sz w:val="17"/>
              </w:rPr>
              <w:t>Beneficiary Ministry User</w:t>
            </w:r>
          </w:p>
        </w:tc>
        <w:tc>
          <w:tcPr>
            <w:tcW w:type="dxa" w:w="6336"/>
            <w:vAlign w:val="top"/>
          </w:tcPr>
          <w:p>
            <w:pPr>
              <w:spacing w:after="40" w:before="0"/>
            </w:pPr>
            <w:r>
              <w:rPr>
                <w:sz w:val="17"/>
              </w:rPr>
            </w:r>
            <w:r>
              <w:rPr>
                <w:b w:val="0"/>
                <w:sz w:val="17"/>
              </w:rPr>
              <w:t>Reviews or updates projects linked to their ministry and supports validation</w:t>
            </w:r>
          </w:p>
        </w:tc>
      </w:tr>
      <w:tr>
        <w:tc>
          <w:tcPr>
            <w:tcW w:type="dxa" w:w="3024"/>
            <w:vAlign w:val="top"/>
          </w:tcPr>
          <w:p>
            <w:pPr>
              <w:spacing w:after="40" w:before="0"/>
            </w:pPr>
            <w:r>
              <w:rPr>
                <w:sz w:val="17"/>
              </w:rPr>
            </w:r>
            <w:r>
              <w:rPr>
                <w:b w:val="0"/>
                <w:sz w:val="17"/>
              </w:rPr>
              <w:t>Embassy Investment Desk User</w:t>
            </w:r>
          </w:p>
        </w:tc>
        <w:tc>
          <w:tcPr>
            <w:tcW w:type="dxa" w:w="6336"/>
            <w:vAlign w:val="top"/>
          </w:tcPr>
          <w:p>
            <w:pPr>
              <w:spacing w:after="40" w:before="0"/>
            </w:pPr>
            <w:r>
              <w:rPr>
                <w:sz w:val="17"/>
              </w:rPr>
            </w:r>
            <w:r>
              <w:rPr>
                <w:b w:val="0"/>
                <w:sz w:val="17"/>
              </w:rPr>
              <w:t>Supports investor engagement, diaspora outreach, and market-specific inquiry routing</w:t>
            </w:r>
          </w:p>
        </w:tc>
      </w:tr>
      <w:tr>
        <w:tc>
          <w:tcPr>
            <w:tcW w:type="dxa" w:w="3024"/>
            <w:vAlign w:val="top"/>
          </w:tcPr>
          <w:p>
            <w:pPr>
              <w:spacing w:after="40" w:before="0"/>
            </w:pPr>
            <w:r>
              <w:rPr>
                <w:sz w:val="17"/>
              </w:rPr>
            </w:r>
            <w:r>
              <w:rPr>
                <w:b w:val="0"/>
                <w:sz w:val="17"/>
              </w:rPr>
              <w:t>Afronovation Platform Manager</w:t>
            </w:r>
          </w:p>
        </w:tc>
        <w:tc>
          <w:tcPr>
            <w:tcW w:type="dxa" w:w="6336"/>
            <w:vAlign w:val="top"/>
          </w:tcPr>
          <w:p>
            <w:pPr>
              <w:spacing w:after="40" w:before="0"/>
            </w:pPr>
            <w:r>
              <w:rPr>
                <w:sz w:val="17"/>
              </w:rPr>
            </w:r>
            <w:r>
              <w:rPr>
                <w:b w:val="0"/>
                <w:sz w:val="17"/>
              </w:rPr>
              <w:t>Operates the platform, supports workflows, manages leads, and ensures quality</w:t>
            </w:r>
          </w:p>
        </w:tc>
      </w:tr>
      <w:tr>
        <w:tc>
          <w:tcPr>
            <w:tcW w:type="dxa" w:w="3024"/>
            <w:vAlign w:val="top"/>
          </w:tcPr>
          <w:p>
            <w:pPr>
              <w:spacing w:after="40" w:before="0"/>
            </w:pPr>
            <w:r>
              <w:rPr>
                <w:sz w:val="17"/>
              </w:rPr>
            </w:r>
            <w:r>
              <w:rPr>
                <w:b w:val="0"/>
                <w:sz w:val="17"/>
              </w:rPr>
              <w:t>Afronovation Super Admin</w:t>
            </w:r>
          </w:p>
        </w:tc>
        <w:tc>
          <w:tcPr>
            <w:tcW w:type="dxa" w:w="6336"/>
            <w:vAlign w:val="top"/>
          </w:tcPr>
          <w:p>
            <w:pPr>
              <w:spacing w:after="40" w:before="0"/>
            </w:pPr>
            <w:r>
              <w:rPr>
                <w:sz w:val="17"/>
              </w:rPr>
            </w:r>
            <w:r>
              <w:rPr>
                <w:b w:val="0"/>
                <w:sz w:val="17"/>
              </w:rPr>
              <w:t>Controls all platform configuration, tenants, roles, entitlements, taxonomies, modules, and publishing rules</w:t>
            </w:r>
          </w:p>
        </w:tc>
      </w:tr>
    </w:tbl>
    <w:p>
      <w:pPr>
        <w:pStyle w:val="Heading1"/>
      </w:pPr>
      <w:r>
        <w:rPr>
          <w:color w:val="145A32"/>
        </w:rPr>
        <w:t>9. Potential Areas of Support: Afronovation as Strategic Implementation Partner</w:t>
      </w:r>
    </w:p>
    <w:p>
      <w:pPr>
        <w:spacing w:after="120"/>
      </w:pPr>
      <w:r>
        <w:t>Afronovation may support the Government of Zimbabwe as a strategic implementation partner across a phased national digital transformation agenda. The initial engagement would begin with the investment platform and may later expand into broader digital government, interoperability, public service, tourism, diaspora, and AI-enabled service infrastructure.</w:t>
      </w:r>
    </w:p>
    <w:tbl>
      <w:tblPr>
        <w:tblStyle w:val="TableGrid"/>
        <w:tblW w:type="auto" w:w="0"/>
        <w:jc w:val="center"/>
        <w:tblLook w:firstColumn="1" w:firstRow="1" w:lastColumn="0" w:lastRow="0" w:noHBand="0" w:noVBand="1" w:val="04A0"/>
      </w:tblPr>
      <w:tblGrid>
        <w:gridCol w:w="5184"/>
        <w:gridCol w:w="5184"/>
      </w:tblGrid>
      <w:tr>
        <w:tc>
          <w:tcPr>
            <w:tcW w:type="dxa" w:w="2880"/>
            <w:shd w:fill="145A32"/>
            <w:vAlign w:val="top"/>
          </w:tcPr>
          <w:p>
            <w:pPr>
              <w:spacing w:after="40" w:before="0"/>
            </w:pPr>
            <w:r>
              <w:rPr>
                <w:sz w:val="17"/>
              </w:rPr>
            </w:r>
            <w:r>
              <w:rPr>
                <w:b/>
                <w:color w:val="FFFFFF"/>
                <w:sz w:val="17"/>
              </w:rPr>
              <w:t>Area</w:t>
            </w:r>
          </w:p>
        </w:tc>
        <w:tc>
          <w:tcPr>
            <w:tcW w:type="dxa" w:w="6480"/>
            <w:shd w:fill="145A32"/>
            <w:vAlign w:val="top"/>
          </w:tcPr>
          <w:p>
            <w:pPr>
              <w:spacing w:after="40" w:before="0"/>
            </w:pPr>
            <w:r>
              <w:rPr>
                <w:sz w:val="17"/>
              </w:rPr>
            </w:r>
            <w:r>
              <w:rPr>
                <w:b/>
                <w:color w:val="FFFFFF"/>
                <w:sz w:val="17"/>
              </w:rPr>
              <w:t>Afronovation Support</w:t>
            </w:r>
          </w:p>
        </w:tc>
      </w:tr>
      <w:tr>
        <w:tc>
          <w:tcPr>
            <w:tcW w:type="dxa" w:w="2880"/>
            <w:vAlign w:val="top"/>
          </w:tcPr>
          <w:p>
            <w:pPr>
              <w:spacing w:after="40" w:before="0"/>
            </w:pPr>
            <w:r>
              <w:rPr>
                <w:sz w:val="17"/>
              </w:rPr>
            </w:r>
            <w:r>
              <w:rPr>
                <w:b w:val="0"/>
                <w:sz w:val="17"/>
              </w:rPr>
              <w:t>National Digital Transformation Strategy</w:t>
            </w:r>
          </w:p>
        </w:tc>
        <w:tc>
          <w:tcPr>
            <w:tcW w:type="dxa" w:w="6480"/>
            <w:vAlign w:val="top"/>
          </w:tcPr>
          <w:p>
            <w:pPr>
              <w:spacing w:after="40" w:before="0"/>
            </w:pPr>
            <w:r>
              <w:rPr>
                <w:sz w:val="17"/>
              </w:rPr>
            </w:r>
            <w:r>
              <w:rPr>
                <w:b w:val="0"/>
                <w:sz w:val="17"/>
              </w:rPr>
              <w:t>Support the development of a practical digital transformation agenda aligned with national priorities</w:t>
            </w:r>
          </w:p>
        </w:tc>
      </w:tr>
      <w:tr>
        <w:tc>
          <w:tcPr>
            <w:tcW w:type="dxa" w:w="2880"/>
            <w:vAlign w:val="top"/>
          </w:tcPr>
          <w:p>
            <w:pPr>
              <w:spacing w:after="40" w:before="0"/>
            </w:pPr>
            <w:r>
              <w:rPr>
                <w:sz w:val="17"/>
              </w:rPr>
            </w:r>
            <w:r>
              <w:rPr>
                <w:b w:val="0"/>
                <w:sz w:val="17"/>
              </w:rPr>
              <w:t>Investment Guide Modernization</w:t>
            </w:r>
          </w:p>
        </w:tc>
        <w:tc>
          <w:tcPr>
            <w:tcW w:type="dxa" w:w="6480"/>
            <w:vAlign w:val="top"/>
          </w:tcPr>
          <w:p>
            <w:pPr>
              <w:spacing w:after="40" w:before="0"/>
            </w:pPr>
            <w:r>
              <w:rPr>
                <w:sz w:val="17"/>
              </w:rPr>
            </w:r>
            <w:r>
              <w:rPr>
                <w:b w:val="0"/>
                <w:sz w:val="17"/>
              </w:rPr>
              <w:t>Convert static investment materials into a live, searchable, investor-facing digital guide</w:t>
            </w:r>
          </w:p>
        </w:tc>
      </w:tr>
      <w:tr>
        <w:tc>
          <w:tcPr>
            <w:tcW w:type="dxa" w:w="2880"/>
            <w:vAlign w:val="top"/>
          </w:tcPr>
          <w:p>
            <w:pPr>
              <w:spacing w:after="40" w:before="0"/>
            </w:pPr>
            <w:r>
              <w:rPr>
                <w:sz w:val="17"/>
              </w:rPr>
            </w:r>
            <w:r>
              <w:rPr>
                <w:b w:val="0"/>
                <w:sz w:val="17"/>
              </w:rPr>
              <w:t>Digital Investment Enablement Platform</w:t>
            </w:r>
          </w:p>
        </w:tc>
        <w:tc>
          <w:tcPr>
            <w:tcW w:type="dxa" w:w="6480"/>
            <w:vAlign w:val="top"/>
          </w:tcPr>
          <w:p>
            <w:pPr>
              <w:spacing w:after="40" w:before="0"/>
            </w:pPr>
            <w:r>
              <w:rPr>
                <w:sz w:val="17"/>
              </w:rPr>
            </w:r>
            <w:r>
              <w:rPr>
                <w:b w:val="0"/>
                <w:sz w:val="17"/>
              </w:rPr>
              <w:t>Deploy a SaaS platform for project discovery, sector intelligence, investor inquiry routing, and opportunity tracking</w:t>
            </w:r>
          </w:p>
        </w:tc>
      </w:tr>
      <w:tr>
        <w:tc>
          <w:tcPr>
            <w:tcW w:type="dxa" w:w="2880"/>
            <w:vAlign w:val="top"/>
          </w:tcPr>
          <w:p>
            <w:pPr>
              <w:spacing w:after="40" w:before="0"/>
            </w:pPr>
            <w:r>
              <w:rPr>
                <w:sz w:val="17"/>
              </w:rPr>
            </w:r>
            <w:r>
              <w:rPr>
                <w:b w:val="0"/>
                <w:sz w:val="17"/>
              </w:rPr>
              <w:t>Government Interoperability Framework</w:t>
            </w:r>
          </w:p>
        </w:tc>
        <w:tc>
          <w:tcPr>
            <w:tcW w:type="dxa" w:w="6480"/>
            <w:vAlign w:val="top"/>
          </w:tcPr>
          <w:p>
            <w:pPr>
              <w:spacing w:after="40" w:before="0"/>
            </w:pPr>
            <w:r>
              <w:rPr>
                <w:sz w:val="17"/>
              </w:rPr>
            </w:r>
            <w:r>
              <w:rPr>
                <w:b w:val="0"/>
                <w:sz w:val="17"/>
              </w:rPr>
              <w:t>Provide conceptual and technical guidance for secure data exchange across institutions</w:t>
            </w:r>
          </w:p>
        </w:tc>
      </w:tr>
      <w:tr>
        <w:tc>
          <w:tcPr>
            <w:tcW w:type="dxa" w:w="2880"/>
            <w:vAlign w:val="top"/>
          </w:tcPr>
          <w:p>
            <w:pPr>
              <w:spacing w:after="40" w:before="0"/>
            </w:pPr>
            <w:r>
              <w:rPr>
                <w:sz w:val="17"/>
              </w:rPr>
            </w:r>
            <w:r>
              <w:rPr>
                <w:b w:val="0"/>
                <w:sz w:val="17"/>
              </w:rPr>
              <w:t>eGovernment Modernization Roadmap</w:t>
            </w:r>
          </w:p>
        </w:tc>
        <w:tc>
          <w:tcPr>
            <w:tcW w:type="dxa" w:w="6480"/>
            <w:vAlign w:val="top"/>
          </w:tcPr>
          <w:p>
            <w:pPr>
              <w:spacing w:after="40" w:before="0"/>
            </w:pPr>
            <w:r>
              <w:rPr>
                <w:sz w:val="17"/>
              </w:rPr>
            </w:r>
            <w:r>
              <w:rPr>
                <w:b w:val="0"/>
                <w:sz w:val="17"/>
              </w:rPr>
              <w:t>Support prioritization of public services suitable for digitization</w:t>
            </w:r>
          </w:p>
        </w:tc>
      </w:tr>
      <w:tr>
        <w:tc>
          <w:tcPr>
            <w:tcW w:type="dxa" w:w="2880"/>
            <w:vAlign w:val="top"/>
          </w:tcPr>
          <w:p>
            <w:pPr>
              <w:spacing w:after="40" w:before="0"/>
            </w:pPr>
            <w:r>
              <w:rPr>
                <w:sz w:val="17"/>
              </w:rPr>
            </w:r>
            <w:r>
              <w:rPr>
                <w:b w:val="0"/>
                <w:sz w:val="17"/>
              </w:rPr>
              <w:t>ePayment and eTax Conceptual Frameworks</w:t>
            </w:r>
          </w:p>
        </w:tc>
        <w:tc>
          <w:tcPr>
            <w:tcW w:type="dxa" w:w="6480"/>
            <w:vAlign w:val="top"/>
          </w:tcPr>
          <w:p>
            <w:pPr>
              <w:spacing w:after="40" w:before="0"/>
            </w:pPr>
            <w:r>
              <w:rPr>
                <w:sz w:val="17"/>
              </w:rPr>
            </w:r>
            <w:r>
              <w:rPr>
                <w:b w:val="0"/>
                <w:sz w:val="17"/>
              </w:rPr>
              <w:t>Develop high-level models for secure public payments, fees, permits, taxes, and service transactions</w:t>
            </w:r>
          </w:p>
        </w:tc>
      </w:tr>
      <w:tr>
        <w:tc>
          <w:tcPr>
            <w:tcW w:type="dxa" w:w="2880"/>
            <w:vAlign w:val="top"/>
          </w:tcPr>
          <w:p>
            <w:pPr>
              <w:spacing w:after="40" w:before="0"/>
            </w:pPr>
            <w:r>
              <w:rPr>
                <w:sz w:val="17"/>
              </w:rPr>
            </w:r>
            <w:r>
              <w:rPr>
                <w:b w:val="0"/>
                <w:sz w:val="17"/>
              </w:rPr>
              <w:t>Tourism and Destination Platforms</w:t>
            </w:r>
          </w:p>
        </w:tc>
        <w:tc>
          <w:tcPr>
            <w:tcW w:type="dxa" w:w="6480"/>
            <w:vAlign w:val="top"/>
          </w:tcPr>
          <w:p>
            <w:pPr>
              <w:spacing w:after="40" w:before="0"/>
            </w:pPr>
            <w:r>
              <w:rPr>
                <w:sz w:val="17"/>
              </w:rPr>
            </w:r>
            <w:r>
              <w:rPr>
                <w:b w:val="0"/>
                <w:sz w:val="17"/>
              </w:rPr>
              <w:t>Support digital promotion of tourism assets, destinations, investment opportunities, and visitor-facing services</w:t>
            </w:r>
          </w:p>
        </w:tc>
      </w:tr>
      <w:tr>
        <w:tc>
          <w:tcPr>
            <w:tcW w:type="dxa" w:w="2880"/>
            <w:vAlign w:val="top"/>
          </w:tcPr>
          <w:p>
            <w:pPr>
              <w:spacing w:after="40" w:before="0"/>
            </w:pPr>
            <w:r>
              <w:rPr>
                <w:sz w:val="17"/>
              </w:rPr>
            </w:r>
            <w:r>
              <w:rPr>
                <w:b w:val="0"/>
                <w:sz w:val="17"/>
              </w:rPr>
              <w:t>Embassy and Diaspora Engagement Systems</w:t>
            </w:r>
          </w:p>
        </w:tc>
        <w:tc>
          <w:tcPr>
            <w:tcW w:type="dxa" w:w="6480"/>
            <w:vAlign w:val="top"/>
          </w:tcPr>
          <w:p>
            <w:pPr>
              <w:spacing w:after="40" w:before="0"/>
            </w:pPr>
            <w:r>
              <w:rPr>
                <w:sz w:val="17"/>
              </w:rPr>
            </w:r>
            <w:r>
              <w:rPr>
                <w:b w:val="0"/>
                <w:sz w:val="17"/>
              </w:rPr>
              <w:t>Support tools for embassies, diaspora communities, investors, and strategic partners</w:t>
            </w:r>
          </w:p>
        </w:tc>
      </w:tr>
      <w:tr>
        <w:tc>
          <w:tcPr>
            <w:tcW w:type="dxa" w:w="2880"/>
            <w:vAlign w:val="top"/>
          </w:tcPr>
          <w:p>
            <w:pPr>
              <w:spacing w:after="40" w:before="0"/>
            </w:pPr>
            <w:r>
              <w:rPr>
                <w:sz w:val="17"/>
              </w:rPr>
            </w:r>
            <w:r>
              <w:rPr>
                <w:b w:val="0"/>
                <w:sz w:val="17"/>
              </w:rPr>
              <w:t>AI-Enabled Public Sector Services</w:t>
            </w:r>
          </w:p>
        </w:tc>
        <w:tc>
          <w:tcPr>
            <w:tcW w:type="dxa" w:w="6480"/>
            <w:vAlign w:val="top"/>
          </w:tcPr>
          <w:p>
            <w:pPr>
              <w:spacing w:after="40" w:before="0"/>
            </w:pPr>
            <w:r>
              <w:rPr>
                <w:sz w:val="17"/>
              </w:rPr>
            </w:r>
            <w:r>
              <w:rPr>
                <w:b w:val="0"/>
                <w:sz w:val="17"/>
              </w:rPr>
              <w:t>Provide controlled AI-assisted search, document intelligence, citizen/investor Q&amp;A, and administrative support tools</w:t>
            </w:r>
          </w:p>
        </w:tc>
      </w:tr>
      <w:tr>
        <w:tc>
          <w:tcPr>
            <w:tcW w:type="dxa" w:w="2880"/>
            <w:vAlign w:val="top"/>
          </w:tcPr>
          <w:p>
            <w:pPr>
              <w:spacing w:after="40" w:before="0"/>
            </w:pPr>
            <w:r>
              <w:rPr>
                <w:sz w:val="17"/>
              </w:rPr>
            </w:r>
            <w:r>
              <w:rPr>
                <w:b w:val="0"/>
                <w:sz w:val="17"/>
              </w:rPr>
              <w:t>Sovereign Data Governance</w:t>
            </w:r>
          </w:p>
        </w:tc>
        <w:tc>
          <w:tcPr>
            <w:tcW w:type="dxa" w:w="6480"/>
            <w:vAlign w:val="top"/>
          </w:tcPr>
          <w:p>
            <w:pPr>
              <w:spacing w:after="40" w:before="0"/>
            </w:pPr>
            <w:r>
              <w:rPr>
                <w:sz w:val="17"/>
              </w:rPr>
            </w:r>
            <w:r>
              <w:rPr>
                <w:b w:val="0"/>
                <w:sz w:val="17"/>
              </w:rPr>
              <w:t>Recommend data classification, ownership, access, privacy, retention, and institutional governance principles</w:t>
            </w:r>
          </w:p>
        </w:tc>
      </w:tr>
      <w:tr>
        <w:tc>
          <w:tcPr>
            <w:tcW w:type="dxa" w:w="2880"/>
            <w:vAlign w:val="top"/>
          </w:tcPr>
          <w:p>
            <w:pPr>
              <w:spacing w:after="40" w:before="0"/>
            </w:pPr>
            <w:r>
              <w:rPr>
                <w:sz w:val="17"/>
              </w:rPr>
            </w:r>
            <w:r>
              <w:rPr>
                <w:b w:val="0"/>
                <w:sz w:val="17"/>
              </w:rPr>
              <w:t>Digital Public Infrastructure Conceptualization</w:t>
            </w:r>
          </w:p>
        </w:tc>
        <w:tc>
          <w:tcPr>
            <w:tcW w:type="dxa" w:w="6480"/>
            <w:vAlign w:val="top"/>
          </w:tcPr>
          <w:p>
            <w:pPr>
              <w:spacing w:after="40" w:before="0"/>
            </w:pPr>
            <w:r>
              <w:rPr>
                <w:sz w:val="17"/>
              </w:rPr>
            </w:r>
            <w:r>
              <w:rPr>
                <w:b w:val="0"/>
                <w:sz w:val="17"/>
              </w:rPr>
              <w:t>Support conceptual design for identity, interoperability, payments, documents, and service-delivery layers</w:t>
            </w:r>
          </w:p>
        </w:tc>
      </w:tr>
    </w:tbl>
    <w:p>
      <w:pPr>
        <w:pStyle w:val="Heading1"/>
      </w:pPr>
      <w:r>
        <w:rPr>
          <w:color w:val="145A32"/>
        </w:rPr>
        <w:t>10. Platform IP, Data Ownership and Sovereign Control</w:t>
      </w:r>
    </w:p>
    <w:p>
      <w:pPr>
        <w:spacing w:after="120"/>
      </w:pPr>
      <w:r>
        <w:t>Afronovation owns, controls, operates, and maintains the platform as proprietary SaaS infrastructure. Afronovation's platform is and will remain Afronovation's intellectual property. This includes the software platform, reusable modules, technical architecture, product frameworks, design systems, implementation methodology, AI-enabled components, and related proprietary tools.</w:t>
      </w:r>
    </w:p>
    <w:p>
      <w:pPr>
        <w:spacing w:after="120"/>
      </w:pPr>
      <w:r>
        <w:t>The Government of Zimbabwe, ZIDA, ministries, agencies, and designated public institutions retain ownership and authority over their official data, documents, investment project information, national content, institutional records, and policy materials.</w:t>
      </w:r>
    </w:p>
    <w:p>
      <w:pPr>
        <w:spacing w:after="120"/>
      </w:pPr>
      <w:r>
        <w:t>Government institutions may be granted configured access, publishing permissions, review workflows, dashboards, or institutional workspaces based on agreed entitlements. This model allows Zimbabwe to benefit from rapid deployment, lower implementation risk, continuous innovation, and platform scalability while preserving sovereign ownership of national data and official content.</w:t>
      </w:r>
    </w:p>
    <w:p>
      <w:pPr>
        <w:pStyle w:val="Heading1"/>
      </w:pPr>
      <w:r>
        <w:rPr>
          <w:color w:val="145A32"/>
        </w:rPr>
        <w:t>11. Proposed Digital Ecosystem</w:t>
      </w:r>
    </w:p>
    <w:p>
      <w:pPr>
        <w:spacing w:after="120"/>
      </w:pPr>
      <w:r>
        <w:t>The investment platform can serve as the first visible layer of a broader national digital transformation ecosystem. The broader ecosystem should not be implemented all at once. The recommended approach is to begin with the investment platform, prove value, and then expand into priority workstreams.</w:t>
      </w:r>
    </w:p>
    <w:tbl>
      <w:tblPr>
        <w:tblStyle w:val="TableGrid"/>
        <w:tblW w:type="auto" w:w="0"/>
        <w:jc w:val="center"/>
        <w:tblLook w:firstColumn="1" w:firstRow="1" w:lastColumn="0" w:lastRow="0" w:noHBand="0" w:noVBand="1" w:val="04A0"/>
      </w:tblPr>
      <w:tblGrid>
        <w:gridCol w:w="5184"/>
        <w:gridCol w:w="5184"/>
      </w:tblGrid>
      <w:tr>
        <w:tc>
          <w:tcPr>
            <w:tcW w:type="dxa" w:w="2880"/>
            <w:shd w:fill="145A32"/>
            <w:vAlign w:val="top"/>
          </w:tcPr>
          <w:p>
            <w:pPr>
              <w:spacing w:after="40" w:before="0"/>
            </w:pPr>
            <w:r>
              <w:rPr>
                <w:sz w:val="17"/>
              </w:rPr>
            </w:r>
            <w:r>
              <w:rPr>
                <w:b/>
                <w:color w:val="FFFFFF"/>
                <w:sz w:val="17"/>
              </w:rPr>
              <w:t>Ecosystem Layer</w:t>
            </w:r>
          </w:p>
        </w:tc>
        <w:tc>
          <w:tcPr>
            <w:tcW w:type="dxa" w:w="6480"/>
            <w:shd w:fill="145A32"/>
            <w:vAlign w:val="top"/>
          </w:tcPr>
          <w:p>
            <w:pPr>
              <w:spacing w:after="40" w:before="0"/>
            </w:pPr>
            <w:r>
              <w:rPr>
                <w:sz w:val="17"/>
              </w:rPr>
            </w:r>
            <w:r>
              <w:rPr>
                <w:b/>
                <w:color w:val="FFFFFF"/>
                <w:sz w:val="17"/>
              </w:rPr>
              <w:t>Purpose</w:t>
            </w:r>
          </w:p>
        </w:tc>
      </w:tr>
      <w:tr>
        <w:tc>
          <w:tcPr>
            <w:tcW w:type="dxa" w:w="2880"/>
            <w:vAlign w:val="top"/>
          </w:tcPr>
          <w:p>
            <w:pPr>
              <w:spacing w:after="40" w:before="0"/>
            </w:pPr>
            <w:r>
              <w:rPr>
                <w:sz w:val="17"/>
              </w:rPr>
            </w:r>
            <w:r>
              <w:rPr>
                <w:b w:val="0"/>
                <w:sz w:val="17"/>
              </w:rPr>
              <w:t>National Interoperability Layer</w:t>
            </w:r>
          </w:p>
        </w:tc>
        <w:tc>
          <w:tcPr>
            <w:tcW w:type="dxa" w:w="6480"/>
            <w:vAlign w:val="top"/>
          </w:tcPr>
          <w:p>
            <w:pPr>
              <w:spacing w:after="40" w:before="0"/>
            </w:pPr>
            <w:r>
              <w:rPr>
                <w:sz w:val="17"/>
              </w:rPr>
            </w:r>
            <w:r>
              <w:rPr>
                <w:b w:val="0"/>
                <w:sz w:val="17"/>
              </w:rPr>
              <w:t>Enables secure data exchange across government systems</w:t>
            </w:r>
          </w:p>
        </w:tc>
      </w:tr>
      <w:tr>
        <w:tc>
          <w:tcPr>
            <w:tcW w:type="dxa" w:w="2880"/>
            <w:vAlign w:val="top"/>
          </w:tcPr>
          <w:p>
            <w:pPr>
              <w:spacing w:after="40" w:before="0"/>
            </w:pPr>
            <w:r>
              <w:rPr>
                <w:sz w:val="17"/>
              </w:rPr>
            </w:r>
            <w:r>
              <w:rPr>
                <w:b w:val="0"/>
                <w:sz w:val="17"/>
              </w:rPr>
              <w:t>Digital Identity Infrastructure</w:t>
            </w:r>
          </w:p>
        </w:tc>
        <w:tc>
          <w:tcPr>
            <w:tcW w:type="dxa" w:w="6480"/>
            <w:vAlign w:val="top"/>
          </w:tcPr>
          <w:p>
            <w:pPr>
              <w:spacing w:after="40" w:before="0"/>
            </w:pPr>
            <w:r>
              <w:rPr>
                <w:sz w:val="17"/>
              </w:rPr>
            </w:r>
            <w:r>
              <w:rPr>
                <w:b w:val="0"/>
                <w:sz w:val="17"/>
              </w:rPr>
              <w:t>Supports trusted access to services, authentication, and citizen/business verification</w:t>
            </w:r>
          </w:p>
        </w:tc>
      </w:tr>
      <w:tr>
        <w:tc>
          <w:tcPr>
            <w:tcW w:type="dxa" w:w="2880"/>
            <w:vAlign w:val="top"/>
          </w:tcPr>
          <w:p>
            <w:pPr>
              <w:spacing w:after="40" w:before="0"/>
            </w:pPr>
            <w:r>
              <w:rPr>
                <w:sz w:val="17"/>
              </w:rPr>
            </w:r>
            <w:r>
              <w:rPr>
                <w:b w:val="0"/>
                <w:sz w:val="17"/>
              </w:rPr>
              <w:t>Secure Document Systems</w:t>
            </w:r>
          </w:p>
        </w:tc>
        <w:tc>
          <w:tcPr>
            <w:tcW w:type="dxa" w:w="6480"/>
            <w:vAlign w:val="top"/>
          </w:tcPr>
          <w:p>
            <w:pPr>
              <w:spacing w:after="40" w:before="0"/>
            </w:pPr>
            <w:r>
              <w:rPr>
                <w:sz w:val="17"/>
              </w:rPr>
            </w:r>
            <w:r>
              <w:rPr>
                <w:b w:val="0"/>
                <w:sz w:val="17"/>
              </w:rPr>
              <w:t>Protects official documents, investment files, permits, and institutional records</w:t>
            </w:r>
          </w:p>
        </w:tc>
      </w:tr>
      <w:tr>
        <w:tc>
          <w:tcPr>
            <w:tcW w:type="dxa" w:w="2880"/>
            <w:vAlign w:val="top"/>
          </w:tcPr>
          <w:p>
            <w:pPr>
              <w:spacing w:after="40" w:before="0"/>
            </w:pPr>
            <w:r>
              <w:rPr>
                <w:sz w:val="17"/>
              </w:rPr>
            </w:r>
            <w:r>
              <w:rPr>
                <w:b w:val="0"/>
                <w:sz w:val="17"/>
              </w:rPr>
              <w:t>Investment Intelligence Systems</w:t>
            </w:r>
          </w:p>
        </w:tc>
        <w:tc>
          <w:tcPr>
            <w:tcW w:type="dxa" w:w="6480"/>
            <w:vAlign w:val="top"/>
          </w:tcPr>
          <w:p>
            <w:pPr>
              <w:spacing w:after="40" w:before="0"/>
            </w:pPr>
            <w:r>
              <w:rPr>
                <w:sz w:val="17"/>
              </w:rPr>
            </w:r>
            <w:r>
              <w:rPr>
                <w:b w:val="0"/>
                <w:sz w:val="17"/>
              </w:rPr>
              <w:t>Digitizes investment opportunities, project pipelines, and investor engagement</w:t>
            </w:r>
          </w:p>
        </w:tc>
      </w:tr>
      <w:tr>
        <w:tc>
          <w:tcPr>
            <w:tcW w:type="dxa" w:w="2880"/>
            <w:vAlign w:val="top"/>
          </w:tcPr>
          <w:p>
            <w:pPr>
              <w:spacing w:after="40" w:before="0"/>
            </w:pPr>
            <w:r>
              <w:rPr>
                <w:sz w:val="17"/>
              </w:rPr>
            </w:r>
            <w:r>
              <w:rPr>
                <w:b w:val="0"/>
                <w:sz w:val="17"/>
              </w:rPr>
              <w:t>eGovernment Service Platforms</w:t>
            </w:r>
          </w:p>
        </w:tc>
        <w:tc>
          <w:tcPr>
            <w:tcW w:type="dxa" w:w="6480"/>
            <w:vAlign w:val="top"/>
          </w:tcPr>
          <w:p>
            <w:pPr>
              <w:spacing w:after="40" w:before="0"/>
            </w:pPr>
            <w:r>
              <w:rPr>
                <w:sz w:val="17"/>
              </w:rPr>
            </w:r>
            <w:r>
              <w:rPr>
                <w:b w:val="0"/>
                <w:sz w:val="17"/>
              </w:rPr>
              <w:t>Supports online delivery of public services</w:t>
            </w:r>
          </w:p>
        </w:tc>
      </w:tr>
      <w:tr>
        <w:tc>
          <w:tcPr>
            <w:tcW w:type="dxa" w:w="2880"/>
            <w:vAlign w:val="top"/>
          </w:tcPr>
          <w:p>
            <w:pPr>
              <w:spacing w:after="40" w:before="0"/>
            </w:pPr>
            <w:r>
              <w:rPr>
                <w:sz w:val="17"/>
              </w:rPr>
            </w:r>
            <w:r>
              <w:rPr>
                <w:b w:val="0"/>
                <w:sz w:val="17"/>
              </w:rPr>
              <w:t>ePayment Infrastructure</w:t>
            </w:r>
          </w:p>
        </w:tc>
        <w:tc>
          <w:tcPr>
            <w:tcW w:type="dxa" w:w="6480"/>
            <w:vAlign w:val="top"/>
          </w:tcPr>
          <w:p>
            <w:pPr>
              <w:spacing w:after="40" w:before="0"/>
            </w:pPr>
            <w:r>
              <w:rPr>
                <w:sz w:val="17"/>
              </w:rPr>
            </w:r>
            <w:r>
              <w:rPr>
                <w:b w:val="0"/>
                <w:sz w:val="17"/>
              </w:rPr>
              <w:t>Enables secure public payments, fees, permits, taxes, and service transactions</w:t>
            </w:r>
          </w:p>
        </w:tc>
      </w:tr>
      <w:tr>
        <w:tc>
          <w:tcPr>
            <w:tcW w:type="dxa" w:w="2880"/>
            <w:vAlign w:val="top"/>
          </w:tcPr>
          <w:p>
            <w:pPr>
              <w:spacing w:after="40" w:before="0"/>
            </w:pPr>
            <w:r>
              <w:rPr>
                <w:sz w:val="17"/>
              </w:rPr>
            </w:r>
            <w:r>
              <w:rPr>
                <w:b w:val="0"/>
                <w:sz w:val="17"/>
              </w:rPr>
              <w:t>Tourism Enablement Platforms</w:t>
            </w:r>
          </w:p>
        </w:tc>
        <w:tc>
          <w:tcPr>
            <w:tcW w:type="dxa" w:w="6480"/>
            <w:vAlign w:val="top"/>
          </w:tcPr>
          <w:p>
            <w:pPr>
              <w:spacing w:after="40" w:before="0"/>
            </w:pPr>
            <w:r>
              <w:rPr>
                <w:sz w:val="17"/>
              </w:rPr>
            </w:r>
            <w:r>
              <w:rPr>
                <w:b w:val="0"/>
                <w:sz w:val="17"/>
              </w:rPr>
              <w:t>Promotes destinations, experiences, and tourism investment opportunities</w:t>
            </w:r>
          </w:p>
        </w:tc>
      </w:tr>
      <w:tr>
        <w:tc>
          <w:tcPr>
            <w:tcW w:type="dxa" w:w="2880"/>
            <w:vAlign w:val="top"/>
          </w:tcPr>
          <w:p>
            <w:pPr>
              <w:spacing w:after="40" w:before="0"/>
            </w:pPr>
            <w:r>
              <w:rPr>
                <w:sz w:val="17"/>
              </w:rPr>
            </w:r>
            <w:r>
              <w:rPr>
                <w:b w:val="0"/>
                <w:sz w:val="17"/>
              </w:rPr>
              <w:t>Embassy &amp; Diaspora Systems</w:t>
            </w:r>
          </w:p>
        </w:tc>
        <w:tc>
          <w:tcPr>
            <w:tcW w:type="dxa" w:w="6480"/>
            <w:vAlign w:val="top"/>
          </w:tcPr>
          <w:p>
            <w:pPr>
              <w:spacing w:after="40" w:before="0"/>
            </w:pPr>
            <w:r>
              <w:rPr>
                <w:sz w:val="17"/>
              </w:rPr>
            </w:r>
            <w:r>
              <w:rPr>
                <w:b w:val="0"/>
                <w:sz w:val="17"/>
              </w:rPr>
              <w:t>Connects embassies, diaspora communities, and investors to national opportunities</w:t>
            </w:r>
          </w:p>
        </w:tc>
      </w:tr>
      <w:tr>
        <w:tc>
          <w:tcPr>
            <w:tcW w:type="dxa" w:w="2880"/>
            <w:vAlign w:val="top"/>
          </w:tcPr>
          <w:p>
            <w:pPr>
              <w:spacing w:after="40" w:before="0"/>
            </w:pPr>
            <w:r>
              <w:rPr>
                <w:sz w:val="17"/>
              </w:rPr>
            </w:r>
            <w:r>
              <w:rPr>
                <w:b w:val="0"/>
                <w:sz w:val="17"/>
              </w:rPr>
              <w:t>AI-Enabled Service Infrastructure</w:t>
            </w:r>
          </w:p>
        </w:tc>
        <w:tc>
          <w:tcPr>
            <w:tcW w:type="dxa" w:w="6480"/>
            <w:vAlign w:val="top"/>
          </w:tcPr>
          <w:p>
            <w:pPr>
              <w:spacing w:after="40" w:before="0"/>
            </w:pPr>
            <w:r>
              <w:rPr>
                <w:sz w:val="17"/>
              </w:rPr>
            </w:r>
            <w:r>
              <w:rPr>
                <w:b w:val="0"/>
                <w:sz w:val="17"/>
              </w:rPr>
              <w:t>Supports guided search, document intelligence, service assistance, and decision support</w:t>
            </w:r>
          </w:p>
        </w:tc>
      </w:tr>
      <w:tr>
        <w:tc>
          <w:tcPr>
            <w:tcW w:type="dxa" w:w="2880"/>
            <w:vAlign w:val="top"/>
          </w:tcPr>
          <w:p>
            <w:pPr>
              <w:spacing w:after="40" w:before="0"/>
            </w:pPr>
            <w:r>
              <w:rPr>
                <w:sz w:val="17"/>
              </w:rPr>
            </w:r>
            <w:r>
              <w:rPr>
                <w:b w:val="0"/>
                <w:sz w:val="17"/>
              </w:rPr>
              <w:t>Sovereign Data Governance</w:t>
            </w:r>
          </w:p>
        </w:tc>
        <w:tc>
          <w:tcPr>
            <w:tcW w:type="dxa" w:w="6480"/>
            <w:vAlign w:val="top"/>
          </w:tcPr>
          <w:p>
            <w:pPr>
              <w:spacing w:after="40" w:before="0"/>
            </w:pPr>
            <w:r>
              <w:rPr>
                <w:sz w:val="17"/>
              </w:rPr>
            </w:r>
            <w:r>
              <w:rPr>
                <w:b w:val="0"/>
                <w:sz w:val="17"/>
              </w:rPr>
              <w:t>Defines how national data is classified, protected, shared, and governed</w:t>
            </w:r>
          </w:p>
        </w:tc>
      </w:tr>
    </w:tbl>
    <w:p>
      <w:pPr>
        <w:pStyle w:val="Heading1"/>
      </w:pPr>
      <w:r>
        <w:rPr>
          <w:color w:val="145A32"/>
        </w:rPr>
        <w:t>12. Proposed 60-90 Day Pilot Scope</w:t>
      </w:r>
    </w:p>
    <w:p>
      <w:pPr>
        <w:spacing w:after="120"/>
      </w:pPr>
      <w:r>
        <w:t>To prepare the platform for a formal engagement, Afronovation proposes a 60-90 day pilot that validates the product model, digitizes selected projects, demonstrates governance workflows, and creates a clear pathway toward a production SaaS deployment.</w:t>
      </w:r>
    </w:p>
    <w:tbl>
      <w:tblPr>
        <w:tblStyle w:val="TableGrid"/>
        <w:tblW w:type="auto" w:w="0"/>
        <w:jc w:val="center"/>
        <w:tblLook w:firstColumn="1" w:firstRow="1" w:lastColumn="0" w:lastRow="0" w:noHBand="0" w:noVBand="1" w:val="04A0"/>
      </w:tblPr>
      <w:tblGrid>
        <w:gridCol w:w="5184"/>
        <w:gridCol w:w="5184"/>
      </w:tblGrid>
      <w:tr>
        <w:tc>
          <w:tcPr>
            <w:tcW w:type="dxa" w:w="2880"/>
            <w:shd w:fill="145A32"/>
            <w:vAlign w:val="top"/>
          </w:tcPr>
          <w:p>
            <w:pPr>
              <w:spacing w:after="40" w:before="0"/>
            </w:pPr>
            <w:r>
              <w:rPr>
                <w:sz w:val="17"/>
              </w:rPr>
            </w:r>
            <w:r>
              <w:rPr>
                <w:b/>
                <w:color w:val="FFFFFF"/>
                <w:sz w:val="17"/>
              </w:rPr>
              <w:t>Pilot Workstream</w:t>
            </w:r>
          </w:p>
        </w:tc>
        <w:tc>
          <w:tcPr>
            <w:tcW w:type="dxa" w:w="6480"/>
            <w:shd w:fill="145A32"/>
            <w:vAlign w:val="top"/>
          </w:tcPr>
          <w:p>
            <w:pPr>
              <w:spacing w:after="40" w:before="0"/>
            </w:pPr>
            <w:r>
              <w:rPr>
                <w:sz w:val="17"/>
              </w:rPr>
            </w:r>
            <w:r>
              <w:rPr>
                <w:b/>
                <w:color w:val="FFFFFF"/>
                <w:sz w:val="17"/>
              </w:rPr>
              <w:t>Output</w:t>
            </w:r>
          </w:p>
        </w:tc>
      </w:tr>
      <w:tr>
        <w:tc>
          <w:tcPr>
            <w:tcW w:type="dxa" w:w="2880"/>
            <w:vAlign w:val="top"/>
          </w:tcPr>
          <w:p>
            <w:pPr>
              <w:spacing w:after="40" w:before="0"/>
            </w:pPr>
            <w:r>
              <w:rPr>
                <w:sz w:val="17"/>
              </w:rPr>
            </w:r>
            <w:r>
              <w:rPr>
                <w:b w:val="0"/>
                <w:sz w:val="17"/>
              </w:rPr>
              <w:t>Strategic Discovery</w:t>
            </w:r>
          </w:p>
        </w:tc>
        <w:tc>
          <w:tcPr>
            <w:tcW w:type="dxa" w:w="6480"/>
            <w:vAlign w:val="top"/>
          </w:tcPr>
          <w:p>
            <w:pPr>
              <w:spacing w:after="40" w:before="0"/>
            </w:pPr>
            <w:r>
              <w:rPr>
                <w:sz w:val="17"/>
              </w:rPr>
            </w:r>
            <w:r>
              <w:rPr>
                <w:b w:val="0"/>
                <w:sz w:val="17"/>
              </w:rPr>
              <w:t>Confirm stakeholders, governance, priority sectors, pilot scope, and success metrics</w:t>
            </w:r>
          </w:p>
        </w:tc>
      </w:tr>
      <w:tr>
        <w:tc>
          <w:tcPr>
            <w:tcW w:type="dxa" w:w="2880"/>
            <w:vAlign w:val="top"/>
          </w:tcPr>
          <w:p>
            <w:pPr>
              <w:spacing w:after="40" w:before="0"/>
            </w:pPr>
            <w:r>
              <w:rPr>
                <w:sz w:val="17"/>
              </w:rPr>
            </w:r>
            <w:r>
              <w:rPr>
                <w:b w:val="0"/>
                <w:sz w:val="17"/>
              </w:rPr>
              <w:t>Data Model and Taxonomy</w:t>
            </w:r>
          </w:p>
        </w:tc>
        <w:tc>
          <w:tcPr>
            <w:tcW w:type="dxa" w:w="6480"/>
            <w:vAlign w:val="top"/>
          </w:tcPr>
          <w:p>
            <w:pPr>
              <w:spacing w:after="40" w:before="0"/>
            </w:pPr>
            <w:r>
              <w:rPr>
                <w:sz w:val="17"/>
              </w:rPr>
            </w:r>
            <w:r>
              <w:rPr>
                <w:b w:val="0"/>
                <w:sz w:val="17"/>
              </w:rPr>
              <w:t>Configure sectors, pillars, SDGs, ministries, agencies, contact reasons, project statuses, and visibility levels</w:t>
            </w:r>
          </w:p>
        </w:tc>
      </w:tr>
      <w:tr>
        <w:tc>
          <w:tcPr>
            <w:tcW w:type="dxa" w:w="2880"/>
            <w:vAlign w:val="top"/>
          </w:tcPr>
          <w:p>
            <w:pPr>
              <w:spacing w:after="40" w:before="0"/>
            </w:pPr>
            <w:r>
              <w:rPr>
                <w:sz w:val="17"/>
              </w:rPr>
            </w:r>
            <w:r>
              <w:rPr>
                <w:b w:val="0"/>
                <w:sz w:val="17"/>
              </w:rPr>
              <w:t>Project Digitization</w:t>
            </w:r>
          </w:p>
        </w:tc>
        <w:tc>
          <w:tcPr>
            <w:tcW w:type="dxa" w:w="6480"/>
            <w:vAlign w:val="top"/>
          </w:tcPr>
          <w:p>
            <w:pPr>
              <w:spacing w:after="40" w:before="0"/>
            </w:pPr>
            <w:r>
              <w:rPr>
                <w:sz w:val="17"/>
              </w:rPr>
            </w:r>
            <w:r>
              <w:rPr>
                <w:b w:val="0"/>
                <w:sz w:val="17"/>
              </w:rPr>
              <w:t>Digitize 25-40 priority projects using the approved project template</w:t>
            </w:r>
          </w:p>
        </w:tc>
      </w:tr>
      <w:tr>
        <w:tc>
          <w:tcPr>
            <w:tcW w:type="dxa" w:w="2880"/>
            <w:vAlign w:val="top"/>
          </w:tcPr>
          <w:p>
            <w:pPr>
              <w:spacing w:after="40" w:before="0"/>
            </w:pPr>
            <w:r>
              <w:rPr>
                <w:sz w:val="17"/>
              </w:rPr>
            </w:r>
            <w:r>
              <w:rPr>
                <w:b w:val="0"/>
                <w:sz w:val="17"/>
              </w:rPr>
              <w:t>Governance Workflow</w:t>
            </w:r>
          </w:p>
        </w:tc>
        <w:tc>
          <w:tcPr>
            <w:tcW w:type="dxa" w:w="6480"/>
            <w:vAlign w:val="top"/>
          </w:tcPr>
          <w:p>
            <w:pPr>
              <w:spacing w:after="40" w:before="0"/>
            </w:pPr>
            <w:r>
              <w:rPr>
                <w:sz w:val="17"/>
              </w:rPr>
            </w:r>
            <w:r>
              <w:rPr>
                <w:b w:val="0"/>
                <w:sz w:val="17"/>
              </w:rPr>
              <w:t>Implement project submission, review, changes requested, approval, publishing, archive, and audit metadata</w:t>
            </w:r>
          </w:p>
        </w:tc>
      </w:tr>
      <w:tr>
        <w:tc>
          <w:tcPr>
            <w:tcW w:type="dxa" w:w="2880"/>
            <w:vAlign w:val="top"/>
          </w:tcPr>
          <w:p>
            <w:pPr>
              <w:spacing w:after="40" w:before="0"/>
            </w:pPr>
            <w:r>
              <w:rPr>
                <w:sz w:val="17"/>
              </w:rPr>
            </w:r>
            <w:r>
              <w:rPr>
                <w:b w:val="0"/>
                <w:sz w:val="17"/>
              </w:rPr>
              <w:t>Investor Experience</w:t>
            </w:r>
          </w:p>
        </w:tc>
        <w:tc>
          <w:tcPr>
            <w:tcW w:type="dxa" w:w="6480"/>
            <w:vAlign w:val="top"/>
          </w:tcPr>
          <w:p>
            <w:pPr>
              <w:spacing w:after="40" w:before="0"/>
            </w:pPr>
            <w:r>
              <w:rPr>
                <w:sz w:val="17"/>
              </w:rPr>
            </w:r>
            <w:r>
              <w:rPr>
                <w:b w:val="0"/>
                <w:sz w:val="17"/>
              </w:rPr>
              <w:t>Launch landing page, project registry, project detail pages, investor journey, registration prompts, and inquiry forms</w:t>
            </w:r>
          </w:p>
        </w:tc>
      </w:tr>
      <w:tr>
        <w:tc>
          <w:tcPr>
            <w:tcW w:type="dxa" w:w="2880"/>
            <w:vAlign w:val="top"/>
          </w:tcPr>
          <w:p>
            <w:pPr>
              <w:spacing w:after="40" w:before="0"/>
            </w:pPr>
            <w:r>
              <w:rPr>
                <w:sz w:val="17"/>
              </w:rPr>
            </w:r>
            <w:r>
              <w:rPr>
                <w:b w:val="0"/>
                <w:sz w:val="17"/>
              </w:rPr>
              <w:t>Admin and Super Admin</w:t>
            </w:r>
          </w:p>
        </w:tc>
        <w:tc>
          <w:tcPr>
            <w:tcW w:type="dxa" w:w="6480"/>
            <w:vAlign w:val="top"/>
          </w:tcPr>
          <w:p>
            <w:pPr>
              <w:spacing w:after="40" w:before="0"/>
            </w:pPr>
            <w:r>
              <w:rPr>
                <w:sz w:val="17"/>
              </w:rPr>
            </w:r>
            <w:r>
              <w:rPr>
                <w:b w:val="0"/>
                <w:sz w:val="17"/>
              </w:rPr>
              <w:t>Configure institutional admin demo and Afronovation super admin controls</w:t>
            </w:r>
          </w:p>
        </w:tc>
      </w:tr>
      <w:tr>
        <w:tc>
          <w:tcPr>
            <w:tcW w:type="dxa" w:w="2880"/>
            <w:vAlign w:val="top"/>
          </w:tcPr>
          <w:p>
            <w:pPr>
              <w:spacing w:after="40" w:before="0"/>
            </w:pPr>
            <w:r>
              <w:rPr>
                <w:sz w:val="17"/>
              </w:rPr>
            </w:r>
            <w:r>
              <w:rPr>
                <w:b w:val="0"/>
                <w:sz w:val="17"/>
              </w:rPr>
              <w:t>Analytics and Lead Capture</w:t>
            </w:r>
          </w:p>
        </w:tc>
        <w:tc>
          <w:tcPr>
            <w:tcW w:type="dxa" w:w="6480"/>
            <w:vAlign w:val="top"/>
          </w:tcPr>
          <w:p>
            <w:pPr>
              <w:spacing w:after="40" w:before="0"/>
            </w:pPr>
            <w:r>
              <w:rPr>
                <w:sz w:val="17"/>
              </w:rPr>
            </w:r>
            <w:r>
              <w:rPr>
                <w:b w:val="0"/>
                <w:sz w:val="17"/>
              </w:rPr>
              <w:t>Track registrations, inquiries, sector interest, project views, and conversion signals</w:t>
            </w:r>
          </w:p>
        </w:tc>
      </w:tr>
      <w:tr>
        <w:tc>
          <w:tcPr>
            <w:tcW w:type="dxa" w:w="2880"/>
            <w:vAlign w:val="top"/>
          </w:tcPr>
          <w:p>
            <w:pPr>
              <w:spacing w:after="40" w:before="0"/>
            </w:pPr>
            <w:r>
              <w:rPr>
                <w:sz w:val="17"/>
              </w:rPr>
            </w:r>
            <w:r>
              <w:rPr>
                <w:b w:val="0"/>
                <w:sz w:val="17"/>
              </w:rPr>
              <w:t>Pilot Report and Roadmap</w:t>
            </w:r>
          </w:p>
        </w:tc>
        <w:tc>
          <w:tcPr>
            <w:tcW w:type="dxa" w:w="6480"/>
            <w:vAlign w:val="top"/>
          </w:tcPr>
          <w:p>
            <w:pPr>
              <w:spacing w:after="40" w:before="0"/>
            </w:pPr>
            <w:r>
              <w:rPr>
                <w:sz w:val="17"/>
              </w:rPr>
            </w:r>
            <w:r>
              <w:rPr>
                <w:b w:val="0"/>
                <w:sz w:val="17"/>
              </w:rPr>
              <w:t>Deliver production roadmap, implementation plan, support model, and commercial pathway</w:t>
            </w:r>
          </w:p>
        </w:tc>
      </w:tr>
    </w:tbl>
    <w:p>
      <w:pPr>
        <w:pStyle w:val="Heading1"/>
      </w:pPr>
      <w:r>
        <w:rPr>
          <w:color w:val="145A32"/>
        </w:rPr>
        <w:t>13. Success Measures</w:t>
      </w:r>
    </w:p>
    <w:p>
      <w:pPr>
        <w:pStyle w:val="ListBullet"/>
        <w:spacing w:after="40"/>
      </w:pPr>
      <w:r>
        <w:t>Investors can understand Zimbabwe's investment opportunity landscape within minutes.</w:t>
      </w:r>
    </w:p>
    <w:p>
      <w:pPr>
        <w:pStyle w:val="ListBullet"/>
        <w:spacing w:after="40"/>
      </w:pPr>
      <w:r>
        <w:t>Projects can be discovered by sector, pillar, SDG, ministry, province, financing type, and readiness level.</w:t>
      </w:r>
    </w:p>
    <w:p>
      <w:pPr>
        <w:pStyle w:val="ListBullet"/>
        <w:spacing w:after="40"/>
      </w:pPr>
      <w:r>
        <w:t>Registered users and qualified investors can be captured as structured leads.</w:t>
      </w:r>
    </w:p>
    <w:p>
      <w:pPr>
        <w:pStyle w:val="ListBullet"/>
        <w:spacing w:after="40"/>
      </w:pPr>
      <w:r>
        <w:t>Every published project has passed a review and approval workflow.</w:t>
      </w:r>
    </w:p>
    <w:p>
      <w:pPr>
        <w:pStyle w:val="ListBullet"/>
        <w:spacing w:after="40"/>
      </w:pPr>
      <w:r>
        <w:t>ZIDA, ministries, and designated stakeholders can see how institutional coordination would work.</w:t>
      </w:r>
    </w:p>
    <w:p>
      <w:pPr>
        <w:pStyle w:val="ListBullet"/>
        <w:spacing w:after="40"/>
      </w:pPr>
      <w:r>
        <w:t>Afronovation's super admin ownership and SaaS control model are clear.</w:t>
      </w:r>
    </w:p>
    <w:p>
      <w:pPr>
        <w:pStyle w:val="ListBullet"/>
        <w:spacing w:after="40"/>
      </w:pPr>
      <w:r>
        <w:t>The platform creates a natural pathway toward a paid production pilot and long-term SaaS licensing model.</w:t>
      </w:r>
    </w:p>
    <w:p>
      <w:pPr>
        <w:pStyle w:val="Heading1"/>
      </w:pPr>
      <w:r>
        <w:rPr>
          <w:color w:val="145A32"/>
        </w:rPr>
        <w:t>14. Proposed Next Step</w:t>
      </w:r>
    </w:p>
    <w:p>
      <w:pPr>
        <w:spacing w:after="120"/>
      </w:pPr>
      <w:r>
        <w:t>Afronovation proposes a strategic discovery session with the Embassy of Zimbabwe in Washington, D.C., ZIDA leadership, the senior government advisor, and relevant institutional focal points.</w:t>
      </w:r>
    </w:p>
    <w:p>
      <w:pPr>
        <w:spacing w:after="120"/>
      </w:pPr>
      <w:r>
        <w:t>The objective of the session would be to validate priority outcomes, platform scope, pilot governance, first sectors and projects to digitize, beneficiary ministry mapping, SDG and impact mapping, content ownership, approval workflow, SaaS licensing model, pilot timeline, and success measures.</w:t>
      </w:r>
    </w:p>
    <w:p>
      <w:pPr>
        <w:spacing w:after="120"/>
      </w:pPr>
      <w:r>
        <w:t>The immediate deliverable from this discovery phase would be a short pilot implementation plan for the Zimbabwe Digital Investment &amp; Economic Intelligence Platform.</w:t>
      </w:r>
    </w:p>
    <w:p>
      <w:pPr>
        <w:pStyle w:val="Heading1"/>
      </w:pPr>
      <w:r>
        <w:rPr>
          <w:color w:val="145A32"/>
        </w:rPr>
        <w:t>15. Closing Positioning Statement</w:t>
      </w:r>
    </w:p>
    <w:p>
      <w:pPr>
        <w:spacing w:after="120"/>
      </w:pPr>
      <w:r>
        <w:t>Afronovation proposes a partnership model in which Zimbabwe retains full authority over its national content, official data, project information, and institutional priorities, while Afronovation provides the proprietary SaaS platform, super admin governance, implementation expertise, and innovation capability required to transform those assets into a modern digital investment and economic intelligence interface.</w:t>
      </w:r>
    </w:p>
    <w:p>
      <w:pPr>
        <w:spacing w:after="120"/>
      </w:pPr>
      <w:r>
        <w:t>The platform would begin as a governed digital investment guide and project registry, but its design would allow Zimbabwe to gradually expand toward a broader sovereign digital transformation ecosystem supporting investment promotion, institutional coordination, diaspora engagement, public service modernization, digital infrastructure, and national economic competitiveness.</w:t>
      </w:r>
    </w:p>
    <w:p>
      <w:pPr>
        <w:pStyle w:val="Heading1"/>
      </w:pPr>
      <w:r>
        <w:rPr>
          <w:color w:val="145A32"/>
        </w:rPr>
        <w:t>Sources and Reference Materials</w:t>
      </w:r>
    </w:p>
    <w:p>
      <w:pPr>
        <w:pStyle w:val="ListBullet"/>
        <w:spacing w:after="40"/>
      </w:pPr>
      <w:r>
        <w:t>ZIDA 2025 Projects portfolio provided by the user, including national overview, sector overviews, and project profiles.</w:t>
      </w:r>
    </w:p>
    <w:p>
      <w:pPr>
        <w:pStyle w:val="ListBullet"/>
        <w:spacing w:after="40"/>
      </w:pPr>
      <w:r>
        <w:t>Zimbabwe Vision 2030 public policy materials.</w:t>
      </w:r>
    </w:p>
    <w:p>
      <w:pPr>
        <w:pStyle w:val="ListBullet"/>
        <w:spacing w:after="40"/>
      </w:pPr>
      <w:r>
        <w:t>Zimbabwe National Development Strategy 2 public policy materials.</w:t>
      </w:r>
    </w:p>
    <w:p>
      <w:pPr>
        <w:pStyle w:val="ListBullet"/>
        <w:spacing w:after="40"/>
      </w:pPr>
      <w:r>
        <w:t>Smart Zimbabwe 2030 Master Plan public policy materials.</w:t>
      </w:r>
    </w:p>
    <w:p>
      <w:pPr>
        <w:pStyle w:val="ListBullet"/>
        <w:spacing w:after="40"/>
      </w:pPr>
      <w:r>
        <w:t>ZIDA public investment promotion and investor services materials.</w:t>
      </w:r>
    </w:p>
    <w:sectPr w:rsidR="00FC693F" w:rsidRPr="0006063C" w:rsidSect="00034616">
      <w:headerReference w:type="default" r:id="rId9"/>
      <w:footerReference w:type="default" r:id="rId10"/>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1F2937"/>
        <w:sz w:val="16"/>
      </w:rPr>
      <w:t>Confidential Discussion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1F2937"/>
        <w:sz w:val="16"/>
      </w:rPr>
      <w:t>Afronovation | Zimbabwe Digital Investment &amp; Economic Intelligence Platform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