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A5F"/>
          <w:sz w:val="36"/>
          <w:szCs w:val="36"/>
        </w:rPr>
        <w:t xml:space="preserve">Advisory Note</w:t>
      </w:r>
    </w:p>
    <w:p>
      <w:pPr>
        <w:spacing w:after="240"/>
        <w:jc w:val="center"/>
      </w:pPr>
      <w:r>
        <w:rPr>
          <w:i/>
          <w:iCs/>
          <w:color w:val="5A6472"/>
          <w:sz w:val="24"/>
          <w:szCs w:val="24"/>
        </w:rPr>
        <w:t xml:space="preserve">Afronovation – Enia Partnership: how it works, the fee, and what to watch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In one paragraph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Enia opens doors and manages every government relationship in Zimbabwe; Afronovation brings the technology, the team and does the work. Enia is paid only when a project she brought in is won and the client actually pays — a tiered fee of 7% / 5% / 3% of net revenue, paid as each client payment arrives. Two documents are provided: a short MOU (mostly a statement of intent) and a binding Partnership Agreement (the real contract). They can be signed together.</w:t>
            </w:r>
          </w:p>
        </w:tc>
      </w:tr>
    </w:tbl>
    <w:p>
      <w:pPr>
        <w:pStyle w:val="Heading1"/>
        <w:keepNext/>
      </w:pPr>
      <w:r>
        <w:t xml:space="preserve">1. Why two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rPr>
          <w:cantSplit/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Binding?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MOU</w:t>
            </w:r>
          </w:p>
        </w:tc>
        <w:tc>
          <w:tcPr>
            <w:tcW w:type="dxa" w:w="4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Short, friendly summary of the partnership. Good to show intent and start working quickly.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Mostly no — but confidentiality, fee protection, non-circumvention and anti-corruption are binding.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Partnership Agreement</w:t>
            </w:r>
          </w:p>
        </w:tc>
        <w:tc>
          <w:tcPr>
            <w:tcW w:type="dxa" w:w="4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full operating contract: roles, fees, payment, exclusivity, protections, termination.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Yes. Replaces the MOU once signed.</w:t>
            </w:r>
          </w:p>
        </w:tc>
      </w:tr>
    </w:tbl>
    <w:p>
      <w:pPr>
        <w:pStyle w:val="Heading1"/>
        <w:keepNext/>
      </w:pPr>
      <w:r>
        <w:t xml:space="preserve">2. Why 7% / 5% / 3% (and not 10–15%)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Afronovation carries the cost and risk: the team, the technology, delivery, warranties and waiting to be paid. Enia’s role is essential but lighter on cost.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Market practice for government introducers/facilitators on technology contracts is usually 3–8%; 10–15% is typical only for small deals or where the introducer also sells or delivers.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tiers keep Enia well rewarded on small and mid-size projects while keeping large projects affordable and competitive on price.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Fees are on </w:t>
      </w:r>
      <w:r>
        <w:rPr>
          <w:b/>
          <w:bCs/>
        </w:rPr>
        <w:t xml:space="preserve">net revenue</w:t>
      </w:r>
      <w:r>
        <w:t xml:space="preserve"> (after taxes and pass-through third-party costs like hardware and licences), so Enia is not paid on money Afronovation simply passes on.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26"/>
        <w:gridCol w:w="1700"/>
        <w:gridCol w:w="1500"/>
      </w:tblGrid>
      <w:tr>
        <w:trPr>
          <w:cantSplit/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size (Net Revenue)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the fee is calculated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Enia’s fee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Effective rate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 500,000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7% × 500,000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 35,000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7.0%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 3,000,000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(7% × 1,000,000) + (5% × 2,000,000)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 170,000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5.7%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 10,000,000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(7% × 1,000,000) + (5% × 4,000,000) + (3% × 5,000,000)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USD 420,000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4.2%</w:t>
            </w:r>
          </w:p>
        </w:tc>
      </w:tr>
    </w:tbl>
    <w:p/>
    <w:p>
      <w:pPr>
        <w:spacing w:after="120" w:line="276"/>
        <w:jc w:val="both"/>
      </w:pPr>
      <w:r>
        <w:t xml:space="preserve">Extras that make it fair for both sides: 2% on renewals/support for 24 months (Enia benefits from long-term relationships), and 50% of the rates for “Assigned Opportunities” — projects Afronovation found itself but asks Enia to help with.</w:t>
      </w:r>
    </w:p>
    <w:p>
      <w:pPr>
        <w:pStyle w:val="Heading1"/>
        <w:keepNext/>
      </w:pPr>
      <w:r>
        <w:t xml:space="preserve">3. How each side is protected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Protects Enia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Protects Afronovation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Written opportunity registration — no argument later about who brought the deal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Fee only on money actually received — no cash risk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Non-circumvention — Afronovation cannot go around Enia to avoid the fee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Enia cannot sign or promise anything on Afronovation’s behalf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Fee continues after the agreement ends (for contracts signed, and for deals won within 12 months)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Exclusivity can be dropped if nothing is won in 12 months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Annual audit right and monthly fee statements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2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Clawback if a client is refunded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Late-payment interest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Strict anti-corruption terms; fee forfeited on any breach</w:t>
            </w:r>
          </w:p>
        </w:tc>
      </w:tr>
    </w:tbl>
    <w:p>
      <w:pPr>
        <w:pStyle w:val="Heading1"/>
        <w:keepNext/>
      </w:pPr>
      <w:r>
        <w:t xml:space="preserve">4. Important things to consider</w:t>
      </w:r>
    </w:p>
    <w:p>
      <w:pPr>
        <w:pStyle w:val="Heading2"/>
        <w:keepNext/>
      </w:pPr>
      <w:r>
        <w:t xml:space="preserve">Anti-corruption (most important)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Afronovation is a US company, so the US Foreign Corrupt Practices Act (FCPA) applies to it worldwide. A success fee paid to someone who deals with government officials is exactly what regulators look at.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Before signing, do basic due diligence on Enia’s company: registration, owners, tax clearance, references, and confirm no owner or close relative is a government official involved in these projects. Keep a written record.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Pay only by bank transfer to Enia’s company account — never cash or third-party accounts. Keep all meeting notes and reports.</w:t>
      </w:r>
    </w:p>
    <w:p>
      <w:pPr>
        <w:pStyle w:val="Heading2"/>
        <w:keepNext/>
      </w:pPr>
      <w:r>
        <w:t xml:space="preserve">Government procurement rules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Most government contracts in Zimbabwe go through the Public Procurement and Disposal of Public Assets Act and PRAZ. Some tenders ask bidders to disclose agents and fees — the agreement allows Afronovation to do so.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Consider whether Afronovation needs to register as a supplier with PRAZ, or partner with a local entity, for certain tenders.</w:t>
      </w:r>
    </w:p>
    <w:p>
      <w:pPr>
        <w:pStyle w:val="Heading2"/>
        <w:keepNext/>
      </w:pPr>
      <w:r>
        <w:t xml:space="preserve">Existing relationships (e.g. ZIDA)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Decide now whether Afronovation’s existing ZIDA engagement is excluded, assigned to Enia (at 50% rates), or fully registered. List it in Schedule 3 to avoid future disputes.</w:t>
      </w:r>
    </w:p>
    <w:p>
      <w:pPr>
        <w:pStyle w:val="Heading2"/>
        <w:keepNext/>
      </w:pPr>
      <w:r>
        <w:t xml:space="preserve">Other points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Subcontractor costs:</w:t>
      </w:r>
      <w:r>
        <w:t xml:space="preserve"> clause 6.4(c) deducts third-party subcontractor costs from net revenue. Enia may push back — decide your position.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Governing law and disputes:</w:t>
      </w:r>
      <w:r>
        <w:t xml:space="preserve"> the draft uses Zimbabwe law and arbitration in Harare (practical, since Enia is there). An alternative is a neutral venue such as Johannesburg or London. Ask your lawyer.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Tax and currency:</w:t>
      </w:r>
      <w:r>
        <w:t xml:space="preserve"> fees are in USD. Enia handles its own taxes and should provide a tax clearance certificate.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Retainer:</w:t>
      </w:r>
      <w:r>
        <w:t xml:space="preserve"> none is included. If Enia asks for one, offer a small monthly amount that is deducted from future success fees.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Signatories:</w:t>
      </w:r>
      <w:r>
        <w:t xml:space="preserve"> the draft shows the CEO and the Executive Partner signing for Afronovation. If one person holds both titles, remove the second signature block.</w:t>
      </w:r>
    </w:p>
    <w:p>
      <w:pPr>
        <w:pStyle w:val="Heading1"/>
        <w:keepNext/>
      </w:pPr>
      <w:r>
        <w:t xml:space="preserve">5. Placeholders to fill in (highlighted yellow)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Enia’s company legal name, registration and tax numbers, address, signatory name and title, bank details, team members.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Afronovation’s street address, registration/EIN, and the Executive Partner’s name.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Excluded relationships (Schedule 3), performance targets (Schedule 5), and legal choices (governing law, arbitration).</w:t>
      </w:r>
    </w:p>
    <w:p>
      <w:pPr>
        <w:pStyle w:val="Heading1"/>
        <w:keepNext/>
      </w:pPr>
      <w:r>
        <w:t xml:space="preserve">6. Recommended next steps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Review both drafts internally and decide the open points above.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Send the MOU and Agreement to Enia for comments.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Have a Zimbabwean lawyer (and ideally US counsel for the FCPA points) review before signing.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Sign, then hold the first Steering Committee meeting within two weeks.</w:t>
      </w:r>
    </w:p>
    <w:p/>
    <w:p>
      <w:pPr>
        <w:spacing w:after="120" w:line="276"/>
        <w:jc w:val="both"/>
      </w:pPr>
      <w:r>
        <w:rPr>
          <w:i/>
          <w:iCs/>
          <w:sz w:val="18"/>
          <w:szCs w:val="18"/>
        </w:rPr>
        <w:t xml:space="preserve">This note is general guidance to help structure the partnership and is not legal advice.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CONFIDENTIAL  |  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A6472"/>
        <w:sz w:val="16"/>
        <w:szCs w:val="16"/>
      </w:rPr>
      <w:t xml:space="preserve">  |  Initials: ______ / 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Afronovation – Enia | Advisory Note |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08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Advisory Note — Afronovation–Enia Partnership</dc:title>
  <dc:creator>Afronovation, Inc.</dc:creator>
  <cp:lastModifiedBy>Un-named</cp:lastModifiedBy>
  <cp:revision>1</cp:revision>
  <dcterms:created xsi:type="dcterms:W3CDTF">2026-09-30T18:57:43.770Z</dcterms:created>
  <dcterms:modified xsi:type="dcterms:W3CDTF">2026-09-30T18:57:43.770Z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