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83F"/>
          <w:sz w:val="40"/>
        </w:rPr>
        <w:t>12. Risk Register v4.91 FULL</w:t>
      </w:r>
    </w:p>
    <w:p>
      <w:pPr>
        <w:jc w:val="center"/>
      </w:pPr>
      <w:r>
        <w:rPr>
          <w:b/>
          <w:color w:val="1F3EA0"/>
          <w:sz w:val="20"/>
        </w:rPr>
        <w:t>Реестр рисков проекта</w:t>
      </w:r>
    </w:p>
    <w:p>
      <w:pPr>
        <w:jc w:val="center"/>
      </w:pPr>
      <w:r>
        <w:rPr>
          <w:color w:val="5A5A5A"/>
          <w:sz w:val="17"/>
        </w:rPr>
        <w:t>Скорректированная редакция: 2026-05-18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864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Риск</w:t>
            </w:r>
          </w:p>
        </w:tc>
        <w:tc>
          <w:tcPr>
            <w:tcW w:type="dxa" w:w="144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Вероятность</w:t>
            </w:r>
          </w:p>
        </w:tc>
        <w:tc>
          <w:tcPr>
            <w:tcW w:type="dxa" w:w="144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Влияние</w:t>
            </w:r>
          </w:p>
        </w:tc>
        <w:tc>
          <w:tcPr>
            <w:tcW w:type="dxa" w:w="4608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Митигирующее действие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не отдаст все поля EDP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Провести пилот с тестовым заказом и обязательными полями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 не отдаст Label Placement Map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Проверить API/экспорт и формат координат у HOMAG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HFE не примет координаты этикеток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Подтвердить интерфейс HFE 200/22 по конкретной конфигурации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Offcut management требует доп. лицензий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Проверить Cut Rite stock control / woodStore offcut options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Maestro Connect не дает бизнес-факты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Строить прямой path через MES One Collectors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1C и imos номенклатура не совпадают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Master Data Governance и таблица соответствия ID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Операторы обходят сканирование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Gate rules и запрет переходов без скана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События UNS дублируются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Idempotency key и EventID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R09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Point-to-point интеграции в обход UNS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Architecture governance и Change Control Board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R10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Недостаток ресурсов подрядчиков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RACI, roadmap, weekly steering committee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