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616A" w:rsidRDefault="008B7C6E">
      <w:pPr>
        <w:spacing w:before="1800" w:after="200"/>
        <w:jc w:val="center"/>
      </w:pPr>
      <w:r>
        <w:rPr>
          <w:b/>
          <w:bCs/>
          <w:color w:val="B23A48"/>
          <w:spacing w:val="120"/>
        </w:rPr>
        <w:t>MAROC</w:t>
      </w:r>
    </w:p>
    <w:p w:rsidR="0042616A" w:rsidRDefault="008B7C6E">
      <w:pPr>
        <w:spacing w:after="200"/>
        <w:jc w:val="center"/>
      </w:pPr>
      <w:r>
        <w:rPr>
          <w:b/>
          <w:bCs/>
          <w:color w:val="1D3557"/>
          <w:sz w:val="44"/>
          <w:szCs w:val="44"/>
        </w:rPr>
        <w:t>Défaillances d’entreprises, freins à la croissance et chômage</w:t>
      </w:r>
    </w:p>
    <w:p w:rsidR="0042616A" w:rsidRDefault="008B7C6E">
      <w:pPr>
        <w:spacing w:after="600"/>
        <w:jc w:val="center"/>
      </w:pPr>
      <w:r>
        <w:rPr>
          <w:color w:val="666666"/>
          <w:sz w:val="24"/>
          <w:szCs w:val="24"/>
        </w:rPr>
        <w:t xml:space="preserve">Analyse chiffrée à partir des données HCP, </w:t>
      </w:r>
      <w:proofErr w:type="spellStart"/>
      <w:r>
        <w:rPr>
          <w:color w:val="666666"/>
          <w:sz w:val="24"/>
          <w:szCs w:val="24"/>
        </w:rPr>
        <w:t>Inforisk</w:t>
      </w:r>
      <w:proofErr w:type="spellEnd"/>
      <w:r>
        <w:rPr>
          <w:color w:val="666666"/>
          <w:sz w:val="24"/>
          <w:szCs w:val="24"/>
        </w:rPr>
        <w:t>, Direction générale du Trésor et Banque mondiale</w:t>
      </w:r>
    </w:p>
    <w:p w:rsidR="0042616A" w:rsidRDefault="008B7C6E" w:rsidP="00E8241E">
      <w:pPr>
        <w:spacing w:after="100"/>
        <w:jc w:val="center"/>
      </w:pPr>
      <w:r>
        <w:rPr>
          <w:b/>
          <w:bCs/>
        </w:rPr>
        <w:t>Rapport de synthèse – Septembre 2026</w:t>
      </w:r>
      <w:bookmarkStart w:id="0" w:name="_GoBack"/>
      <w:bookmarkEnd w:id="0"/>
    </w:p>
    <w:p w:rsidR="0042616A" w:rsidRDefault="008B7C6E">
      <w:r>
        <w:br w:type="page"/>
      </w:r>
    </w:p>
    <w:p w:rsidR="0042616A" w:rsidRDefault="008B7C6E">
      <w:pPr>
        <w:pStyle w:val="Titre1"/>
        <w:pBdr>
          <w:bottom w:val="single" w:sz="6" w:space="4" w:color="1D3557"/>
        </w:pBdr>
      </w:pPr>
      <w:r>
        <w:rPr>
          <w:color w:val="1D3557"/>
        </w:rPr>
        <w:lastRenderedPageBreak/>
        <w:t>Résumé</w:t>
      </w:r>
    </w:p>
    <w:p w:rsidR="0042616A" w:rsidRDefault="008B7C6E">
      <w:pPr>
        <w:spacing w:after="120" w:line="300" w:lineRule="auto"/>
        <w:jc w:val="both"/>
      </w:pPr>
      <w:r>
        <w:t>Ce rapport traite trois questions : pourquoi tant d’entreprises ferment au Maroc, ce qui freine la croissance, et si le chômage augmente réellement « sans cesse ». Chaque affirmation s’appuie sur des données publiques (voir la section Sources) et sur le script Python fourni dans le dépôt.</w:t>
      </w:r>
    </w:p>
    <w:p w:rsidR="0042616A" w:rsidRDefault="008B7C6E">
      <w:pPr>
        <w:pStyle w:val="Paragraphedeliste"/>
        <w:numPr>
          <w:ilvl w:val="0"/>
          <w:numId w:val="2"/>
        </w:numPr>
        <w:spacing w:after="80" w:line="290" w:lineRule="auto"/>
      </w:pPr>
      <w:r>
        <w:rPr>
          <w:b/>
          <w:bCs/>
        </w:rPr>
        <w:t xml:space="preserve">Fermetures d’entreprises. </w:t>
      </w:r>
      <w:r>
        <w:t xml:space="preserve">Les défaillances sont passées de 8 439 en 2019 à 15 307 en 2025 (×1,8). Elles touchent à 99,2 % des très petites entreprises (données 2022). 2025 </w:t>
      </w:r>
      <w:proofErr w:type="gramStart"/>
      <w:r>
        <w:t>marque</w:t>
      </w:r>
      <w:proofErr w:type="gramEnd"/>
      <w:r>
        <w:t xml:space="preserve"> toutefois le premier recul (−3,3 %) depuis le </w:t>
      </w:r>
      <w:proofErr w:type="spellStart"/>
      <w:r>
        <w:t>Covid</w:t>
      </w:r>
      <w:proofErr w:type="spellEnd"/>
      <w:r>
        <w:t>.</w:t>
      </w:r>
    </w:p>
    <w:p w:rsidR="0042616A" w:rsidRDefault="008B7C6E">
      <w:pPr>
        <w:pStyle w:val="Paragraphedeliste"/>
        <w:numPr>
          <w:ilvl w:val="0"/>
          <w:numId w:val="2"/>
        </w:numPr>
        <w:spacing w:after="80" w:line="290" w:lineRule="auto"/>
      </w:pPr>
      <w:r>
        <w:rPr>
          <w:b/>
          <w:bCs/>
        </w:rPr>
        <w:t xml:space="preserve">Croissance. </w:t>
      </w:r>
      <w:r>
        <w:t>Le PIB progresse de 4,9 % en 2025, mais la valeur ajoutée agricole bondit de 8,2 % alors que le reste de l’économie ralentit à 3,9 %. La croissance reste donc très dépendante de la pluviométrie.</w:t>
      </w:r>
    </w:p>
    <w:p w:rsidR="0042616A" w:rsidRDefault="008B7C6E">
      <w:pPr>
        <w:pStyle w:val="Paragraphedeliste"/>
        <w:numPr>
          <w:ilvl w:val="0"/>
          <w:numId w:val="2"/>
        </w:numPr>
        <w:spacing w:after="80" w:line="290" w:lineRule="auto"/>
      </w:pPr>
      <w:r>
        <w:rPr>
          <w:b/>
          <w:bCs/>
        </w:rPr>
        <w:t xml:space="preserve">Chômage. </w:t>
      </w:r>
      <w:r>
        <w:t>Le taux est passé de 9,2 % (2019) à 13,3 % (2024), puis 13,0 % en 2025. L’affirmation « augmente sans cesse » est donc inexacte : le problème est surtout structurel (jeunes 37,2 %, femmes 20,5 %, diplômés 19,1 %).</w:t>
      </w:r>
    </w:p>
    <w:p w:rsidR="0042616A" w:rsidRDefault="008B7C6E">
      <w:pPr>
        <w:spacing w:before="200" w:after="100"/>
        <w:jc w:val="both"/>
      </w:pPr>
      <w:r>
        <w:rPr>
          <w:b/>
          <w:bCs/>
        </w:rPr>
        <w:t>Synthèse graphique</w:t>
      </w:r>
    </w:p>
    <w:p w:rsidR="0042616A" w:rsidRDefault="008B7C6E">
      <w:pPr>
        <w:spacing w:after="60"/>
        <w:jc w:val="center"/>
      </w:pPr>
      <w:r>
        <w:rPr>
          <w:noProof/>
        </w:rPr>
        <w:drawing>
          <wp:inline distT="0" distB="0" distL="0" distR="0">
            <wp:extent cx="5715000" cy="1876425"/>
            <wp:effectExtent l="0" t="0" r="0" b="0"/>
            <wp:docPr id="1" name="graphique" descr="Défaillances, chômage et croissance au Maroc" title="Graphique de synthè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876425"/>
                    </a:xfrm>
                    <a:prstGeom prst="rect">
                      <a:avLst/>
                    </a:prstGeom>
                  </pic:spPr>
                </pic:pic>
              </a:graphicData>
            </a:graphic>
          </wp:inline>
        </w:drawing>
      </w:r>
    </w:p>
    <w:p w:rsidR="0042616A" w:rsidRDefault="008B7C6E">
      <w:pPr>
        <w:spacing w:after="200"/>
        <w:jc w:val="center"/>
      </w:pPr>
      <w:r>
        <w:rPr>
          <w:i/>
          <w:iCs/>
          <w:color w:val="666666"/>
          <w:sz w:val="17"/>
          <w:szCs w:val="17"/>
        </w:rPr>
        <w:t xml:space="preserve">Figure 1 – Défaillances, chômage et croissance (généré par src/analyse.py). Sources : HCP, </w:t>
      </w:r>
      <w:proofErr w:type="spellStart"/>
      <w:r>
        <w:rPr>
          <w:i/>
          <w:iCs/>
          <w:color w:val="666666"/>
          <w:sz w:val="17"/>
          <w:szCs w:val="17"/>
        </w:rPr>
        <w:t>Inforisk</w:t>
      </w:r>
      <w:proofErr w:type="spellEnd"/>
      <w:r>
        <w:rPr>
          <w:i/>
          <w:iCs/>
          <w:color w:val="666666"/>
          <w:sz w:val="17"/>
          <w:szCs w:val="17"/>
        </w:rPr>
        <w:t>.</w:t>
      </w:r>
    </w:p>
    <w:p w:rsidR="0042616A" w:rsidRDefault="008B7C6E">
      <w:pPr>
        <w:pStyle w:val="Titre1"/>
        <w:pBdr>
          <w:bottom w:val="single" w:sz="6" w:space="4" w:color="1D3557"/>
        </w:pBdr>
      </w:pPr>
      <w:r>
        <w:rPr>
          <w:color w:val="1D3557"/>
        </w:rPr>
        <w:t>1. Données et méthode</w:t>
      </w:r>
    </w:p>
    <w:p w:rsidR="0042616A" w:rsidRDefault="008B7C6E">
      <w:pPr>
        <w:spacing w:after="120" w:line="300" w:lineRule="auto"/>
        <w:jc w:val="both"/>
      </w:pPr>
      <w:r>
        <w:t xml:space="preserve">Le </w:t>
      </w:r>
      <w:proofErr w:type="spellStart"/>
      <w:r>
        <w:t>dataset</w:t>
      </w:r>
      <w:proofErr w:type="spellEnd"/>
      <w:r>
        <w:t xml:space="preserve"> regroupe quatre fichiers CSV : défaillances d’entreprises (</w:t>
      </w:r>
      <w:proofErr w:type="spellStart"/>
      <w:r>
        <w:t>Inforisk</w:t>
      </w:r>
      <w:proofErr w:type="spellEnd"/>
      <w:r>
        <w:t>), chômage par catégorie (HCP), croissance du PIB et de l’agriculture (HCP), et indicateurs structurels (informel, activité, NEET). Le script Python src/analyse.py :</w:t>
      </w:r>
    </w:p>
    <w:p w:rsidR="0042616A" w:rsidRDefault="008B7C6E">
      <w:pPr>
        <w:pStyle w:val="Paragraphedeliste"/>
        <w:numPr>
          <w:ilvl w:val="0"/>
          <w:numId w:val="2"/>
        </w:numPr>
        <w:spacing w:after="80" w:line="290" w:lineRule="auto"/>
      </w:pPr>
      <w:proofErr w:type="gramStart"/>
      <w:r>
        <w:t>télécharge</w:t>
      </w:r>
      <w:proofErr w:type="gramEnd"/>
      <w:r>
        <w:t xml:space="preserve"> le PIB et le chômage modélisé depuis l’API de la Banque mondiale, avec repli sur un cache local si la connexion échoue ;</w:t>
      </w:r>
    </w:p>
    <w:p w:rsidR="0042616A" w:rsidRDefault="008B7C6E">
      <w:pPr>
        <w:pStyle w:val="Paragraphedeliste"/>
        <w:numPr>
          <w:ilvl w:val="0"/>
          <w:numId w:val="2"/>
        </w:numPr>
        <w:spacing w:after="80" w:line="290" w:lineRule="auto"/>
      </w:pPr>
      <w:proofErr w:type="gramStart"/>
      <w:r>
        <w:t>charge</w:t>
      </w:r>
      <w:proofErr w:type="gramEnd"/>
      <w:r>
        <w:t xml:space="preserve"> les CSV du dossier data/ ;</w:t>
      </w:r>
    </w:p>
    <w:p w:rsidR="0042616A" w:rsidRDefault="008B7C6E">
      <w:pPr>
        <w:pStyle w:val="Paragraphedeliste"/>
        <w:numPr>
          <w:ilvl w:val="0"/>
          <w:numId w:val="2"/>
        </w:numPr>
        <w:spacing w:after="80" w:line="290" w:lineRule="auto"/>
      </w:pPr>
      <w:proofErr w:type="gramStart"/>
      <w:r>
        <w:t>calcule</w:t>
      </w:r>
      <w:proofErr w:type="gramEnd"/>
      <w:r>
        <w:t xml:space="preserve"> des indicateurs de synthèse (multiplicateurs, écarts en points) ;</w:t>
      </w:r>
    </w:p>
    <w:p w:rsidR="0042616A" w:rsidRDefault="008B7C6E">
      <w:pPr>
        <w:pStyle w:val="Paragraphedeliste"/>
        <w:numPr>
          <w:ilvl w:val="0"/>
          <w:numId w:val="2"/>
        </w:numPr>
        <w:spacing w:after="80" w:line="290" w:lineRule="auto"/>
      </w:pPr>
      <w:proofErr w:type="gramStart"/>
      <w:r>
        <w:t>génère</w:t>
      </w:r>
      <w:proofErr w:type="gramEnd"/>
      <w:r>
        <w:t xml:space="preserve"> le graphique en trois panneaux (Figure 1) et un tableau de synthèse.</w:t>
      </w:r>
    </w:p>
    <w:p w:rsidR="0042616A" w:rsidRDefault="008B7C6E">
      <w:pPr>
        <w:spacing w:after="120" w:line="300" w:lineRule="auto"/>
        <w:jc w:val="both"/>
      </w:pPr>
      <w:r>
        <w:rPr>
          <w:b/>
          <w:bCs/>
        </w:rPr>
        <w:t xml:space="preserve">Limites. </w:t>
      </w:r>
      <w:r>
        <w:t xml:space="preserve">Certaines valeurs sont manquantes ou à recouper : défaillances 2021 et 2023, valeur 2022 approximative (« plus de 12 000 »), taux de chômage 2019-2023 et croissance hors agriculture 2024. Le total </w:t>
      </w:r>
      <w:proofErr w:type="spellStart"/>
      <w:r>
        <w:t>Inforisk</w:t>
      </w:r>
      <w:proofErr w:type="spellEnd"/>
      <w:r>
        <w:t xml:space="preserve"> 2024 (15 658) n’est pas parfaitement cohérent avec la baisse de 3,3 % publiée pour 2025, ce qui suggère une révision. Ce rapport décrit et rapproche des indicateurs ; il n’établit pas de causalité économétrique.</w:t>
      </w:r>
    </w:p>
    <w:p w:rsidR="0042616A" w:rsidRDefault="008B7C6E">
      <w:pPr>
        <w:pStyle w:val="Titre1"/>
        <w:pBdr>
          <w:bottom w:val="single" w:sz="6" w:space="4" w:color="1D3557"/>
        </w:pBdr>
      </w:pPr>
      <w:r>
        <w:rPr>
          <w:color w:val="1D3557"/>
        </w:rPr>
        <w:lastRenderedPageBreak/>
        <w:t>2. Pourquoi tant d’entreprises ferment-elles ?</w:t>
      </w:r>
    </w:p>
    <w:p w:rsidR="0042616A" w:rsidRDefault="008B7C6E">
      <w:pPr>
        <w:pStyle w:val="Titre2"/>
      </w:pPr>
      <w:r>
        <w:rPr>
          <w:color w:val="B23A48"/>
        </w:rPr>
        <w:t>2.1 Les faits</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800"/>
      </w:tblGrid>
      <w:tr w:rsidR="0042616A">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D3557"/>
            <w:tcMar>
              <w:top w:w="70" w:type="dxa"/>
              <w:left w:w="110" w:type="dxa"/>
              <w:bottom w:w="70" w:type="dxa"/>
              <w:right w:w="110" w:type="dxa"/>
            </w:tcMar>
          </w:tcPr>
          <w:p w:rsidR="0042616A" w:rsidRDefault="008B7C6E">
            <w:r>
              <w:rPr>
                <w:b/>
                <w:bCs/>
                <w:color w:val="FFFFFF"/>
                <w:sz w:val="20"/>
                <w:szCs w:val="20"/>
              </w:rPr>
              <w:t>Année</w:t>
            </w:r>
          </w:p>
        </w:tc>
        <w:tc>
          <w:tcPr>
            <w:tcW w:w="2200" w:type="dxa"/>
            <w:tcBorders>
              <w:top w:val="single" w:sz="4" w:space="0" w:color="BBBBBB"/>
              <w:left w:val="single" w:sz="4" w:space="0" w:color="BBBBBB"/>
              <w:bottom w:val="single" w:sz="4" w:space="0" w:color="BBBBBB"/>
              <w:right w:val="single" w:sz="4" w:space="0" w:color="BBBBBB"/>
            </w:tcBorders>
            <w:shd w:val="clear" w:color="auto" w:fill="1D3557"/>
            <w:tcMar>
              <w:top w:w="70" w:type="dxa"/>
              <w:left w:w="110" w:type="dxa"/>
              <w:bottom w:w="70" w:type="dxa"/>
              <w:right w:w="110" w:type="dxa"/>
            </w:tcMar>
          </w:tcPr>
          <w:p w:rsidR="0042616A" w:rsidRDefault="008B7C6E">
            <w:pPr>
              <w:jc w:val="center"/>
            </w:pPr>
            <w:r>
              <w:rPr>
                <w:b/>
                <w:bCs/>
                <w:color w:val="FFFFFF"/>
                <w:sz w:val="20"/>
                <w:szCs w:val="20"/>
              </w:rPr>
              <w:t>Défaillances</w:t>
            </w:r>
          </w:p>
        </w:tc>
        <w:tc>
          <w:tcPr>
            <w:tcW w:w="2800" w:type="dxa"/>
            <w:tcBorders>
              <w:top w:val="single" w:sz="4" w:space="0" w:color="BBBBBB"/>
              <w:left w:val="single" w:sz="4" w:space="0" w:color="BBBBBB"/>
              <w:bottom w:val="single" w:sz="4" w:space="0" w:color="BBBBBB"/>
              <w:right w:val="single" w:sz="4" w:space="0" w:color="BBBBBB"/>
            </w:tcBorders>
            <w:shd w:val="clear" w:color="auto" w:fill="1D3557"/>
            <w:tcMar>
              <w:top w:w="70" w:type="dxa"/>
              <w:left w:w="110" w:type="dxa"/>
              <w:bottom w:w="70" w:type="dxa"/>
              <w:right w:w="110" w:type="dxa"/>
            </w:tcMar>
          </w:tcPr>
          <w:p w:rsidR="0042616A" w:rsidRDefault="008B7C6E">
            <w:pPr>
              <w:jc w:val="center"/>
            </w:pPr>
            <w:r>
              <w:rPr>
                <w:b/>
                <w:bCs/>
                <w:color w:val="FFFFFF"/>
                <w:sz w:val="20"/>
                <w:szCs w:val="20"/>
              </w:rPr>
              <w:t>Variation annuelle</w:t>
            </w:r>
          </w:p>
        </w:tc>
      </w:tr>
      <w:tr w:rsidR="0042616A">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2019</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8 439</w:t>
            </w:r>
          </w:p>
        </w:tc>
        <w:tc>
          <w:tcPr>
            <w:tcW w:w="2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+5,1 %</w:t>
            </w:r>
          </w:p>
        </w:tc>
      </w:tr>
      <w:tr w:rsidR="0042616A">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2020</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6 612</w:t>
            </w:r>
          </w:p>
        </w:tc>
        <w:tc>
          <w:tcPr>
            <w:tcW w:w="2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proofErr w:type="gramStart"/>
            <w:r>
              <w:rPr>
                <w:color w:val="000000"/>
                <w:sz w:val="20"/>
                <w:szCs w:val="20"/>
              </w:rPr>
              <w:t>baisse</w:t>
            </w:r>
            <w:proofErr w:type="gramEnd"/>
            <w:r>
              <w:rPr>
                <w:color w:val="000000"/>
                <w:sz w:val="20"/>
                <w:szCs w:val="20"/>
              </w:rPr>
              <w:t xml:space="preserve"> (période </w:t>
            </w:r>
            <w:proofErr w:type="spellStart"/>
            <w:r>
              <w:rPr>
                <w:color w:val="000000"/>
                <w:sz w:val="20"/>
                <w:szCs w:val="20"/>
              </w:rPr>
              <w:t>Covid</w:t>
            </w:r>
            <w:proofErr w:type="spellEnd"/>
            <w:r>
              <w:rPr>
                <w:color w:val="000000"/>
                <w:sz w:val="20"/>
                <w:szCs w:val="20"/>
              </w:rPr>
              <w:t>)</w:t>
            </w:r>
          </w:p>
        </w:tc>
      </w:tr>
      <w:tr w:rsidR="0042616A">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2022</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 12 000</w:t>
            </w:r>
          </w:p>
        </w:tc>
        <w:tc>
          <w:tcPr>
            <w:tcW w:w="2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+18 %</w:t>
            </w:r>
          </w:p>
        </w:tc>
      </w:tr>
      <w:tr w:rsidR="0042616A">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2023</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proofErr w:type="spellStart"/>
            <w:r>
              <w:rPr>
                <w:color w:val="000000"/>
                <w:sz w:val="20"/>
                <w:szCs w:val="20"/>
              </w:rPr>
              <w:t>n.d</w:t>
            </w:r>
            <w:proofErr w:type="spellEnd"/>
            <w:r>
              <w:rPr>
                <w:color w:val="000000"/>
                <w:sz w:val="20"/>
                <w:szCs w:val="20"/>
              </w:rPr>
              <w:t>.</w:t>
            </w:r>
          </w:p>
        </w:tc>
        <w:tc>
          <w:tcPr>
            <w:tcW w:w="2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+13 %</w:t>
            </w:r>
          </w:p>
        </w:tc>
      </w:tr>
      <w:tr w:rsidR="0042616A">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2024</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15 658</w:t>
            </w:r>
          </w:p>
        </w:tc>
        <w:tc>
          <w:tcPr>
            <w:tcW w:w="2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+11 %</w:t>
            </w:r>
          </w:p>
        </w:tc>
      </w:tr>
      <w:tr w:rsidR="0042616A">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2025</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15 307</w:t>
            </w:r>
          </w:p>
        </w:tc>
        <w:tc>
          <w:tcPr>
            <w:tcW w:w="2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−3,3 %</w:t>
            </w:r>
          </w:p>
        </w:tc>
      </w:tr>
    </w:tbl>
    <w:p w:rsidR="0042616A" w:rsidRDefault="008B7C6E">
      <w:pPr>
        <w:spacing w:before="60" w:after="200"/>
      </w:pPr>
      <w:r>
        <w:rPr>
          <w:i/>
          <w:iCs/>
          <w:color w:val="666666"/>
          <w:sz w:val="17"/>
          <w:szCs w:val="17"/>
        </w:rPr>
        <w:t xml:space="preserve">Source : </w:t>
      </w:r>
      <w:proofErr w:type="spellStart"/>
      <w:r>
        <w:rPr>
          <w:i/>
          <w:iCs/>
          <w:color w:val="666666"/>
          <w:sz w:val="17"/>
          <w:szCs w:val="17"/>
        </w:rPr>
        <w:t>Inforisk</w:t>
      </w:r>
      <w:proofErr w:type="spellEnd"/>
      <w:r>
        <w:rPr>
          <w:i/>
          <w:iCs/>
          <w:color w:val="666666"/>
          <w:sz w:val="17"/>
          <w:szCs w:val="17"/>
        </w:rPr>
        <w:t>. Les données 2021 et 2023 sont à compléter.</w:t>
      </w:r>
    </w:p>
    <w:p w:rsidR="0042616A" w:rsidRDefault="008B7C6E">
      <w:pPr>
        <w:spacing w:after="120" w:line="300" w:lineRule="auto"/>
        <w:jc w:val="both"/>
      </w:pPr>
      <w:r>
        <w:t xml:space="preserve">Entre 2019 et 2025, le nombre de défaillances est multiplié par 1,8 ; par rapport au point bas de 2020, il est multiplié par 2,3. Le Maroc figure en 2025 parmi les rares pays dont les défaillances reculent, alors qu’elles ont progressé de 17 % en moyenne dans le monde selon </w:t>
      </w:r>
      <w:proofErr w:type="spellStart"/>
      <w:r>
        <w:t>Inforisk</w:t>
      </w:r>
      <w:proofErr w:type="spellEnd"/>
      <w:r>
        <w:t>.</w:t>
      </w:r>
    </w:p>
    <w:p w:rsidR="0042616A" w:rsidRDefault="008B7C6E">
      <w:pPr>
        <w:spacing w:after="120" w:line="300" w:lineRule="auto"/>
        <w:jc w:val="both"/>
      </w:pPr>
      <w:r>
        <w:t>Le profil des entreprises concernées (données 2022) est très concentré :</w:t>
      </w:r>
    </w:p>
    <w:p w:rsidR="0042616A" w:rsidRDefault="008B7C6E">
      <w:pPr>
        <w:pStyle w:val="Paragraphedeliste"/>
        <w:numPr>
          <w:ilvl w:val="0"/>
          <w:numId w:val="2"/>
        </w:numPr>
        <w:spacing w:after="80" w:line="290" w:lineRule="auto"/>
      </w:pPr>
      <w:r>
        <w:t>99,2 % de TPE, 0,7 % de PME et 0,1 % de grandes entreprises ;</w:t>
      </w:r>
    </w:p>
    <w:p w:rsidR="0042616A" w:rsidRDefault="008B7C6E">
      <w:pPr>
        <w:pStyle w:val="Paragraphedeliste"/>
        <w:numPr>
          <w:ilvl w:val="0"/>
          <w:numId w:val="2"/>
        </w:numPr>
        <w:spacing w:after="80" w:line="290" w:lineRule="auto"/>
      </w:pPr>
      <w:proofErr w:type="gramStart"/>
      <w:r>
        <w:t>par</w:t>
      </w:r>
      <w:proofErr w:type="gramEnd"/>
      <w:r>
        <w:t xml:space="preserve"> secteur : commerce 33 %, immobilier 21 %, BTP 15 %, transport 8 % ;</w:t>
      </w:r>
    </w:p>
    <w:p w:rsidR="0042616A" w:rsidRDefault="008B7C6E">
      <w:pPr>
        <w:pStyle w:val="Paragraphedeliste"/>
        <w:numPr>
          <w:ilvl w:val="0"/>
          <w:numId w:val="2"/>
        </w:numPr>
        <w:spacing w:after="80" w:line="290" w:lineRule="auto"/>
      </w:pPr>
      <w:proofErr w:type="gramStart"/>
      <w:r>
        <w:t>par</w:t>
      </w:r>
      <w:proofErr w:type="gramEnd"/>
      <w:r>
        <w:t xml:space="preserve"> zone : l’axe Casablanca-Rabat-Tanger représente 41 % des cas ;</w:t>
      </w:r>
    </w:p>
    <w:p w:rsidR="0042616A" w:rsidRDefault="008B7C6E">
      <w:pPr>
        <w:pStyle w:val="Paragraphedeliste"/>
        <w:numPr>
          <w:ilvl w:val="0"/>
          <w:numId w:val="2"/>
        </w:numPr>
        <w:spacing w:after="80" w:line="290" w:lineRule="auto"/>
      </w:pPr>
      <w:r>
        <w:t>99,69 % des défaillances sont des liquidations, dissolutions, radiations ou cessations ; seulement 27 procédures de sauvegarde ont été ouvertes.</w:t>
      </w:r>
    </w:p>
    <w:p w:rsidR="0042616A" w:rsidRDefault="008B7C6E">
      <w:pPr>
        <w:pStyle w:val="Titre2"/>
      </w:pPr>
      <w:r>
        <w:rPr>
          <w:color w:val="B23A48"/>
        </w:rPr>
        <w:t>2.2 Les explications</w:t>
      </w:r>
    </w:p>
    <w:p w:rsidR="0042616A" w:rsidRDefault="008B7C6E">
      <w:pPr>
        <w:pStyle w:val="Paragraphedeliste"/>
        <w:numPr>
          <w:ilvl w:val="0"/>
          <w:numId w:val="2"/>
        </w:numPr>
        <w:spacing w:after="80" w:line="290" w:lineRule="auto"/>
      </w:pPr>
      <w:r>
        <w:rPr>
          <w:b/>
          <w:bCs/>
        </w:rPr>
        <w:t xml:space="preserve">Rebond après le </w:t>
      </w:r>
      <w:proofErr w:type="spellStart"/>
      <w:r>
        <w:rPr>
          <w:b/>
          <w:bCs/>
        </w:rPr>
        <w:t>Covid</w:t>
      </w:r>
      <w:proofErr w:type="spellEnd"/>
      <w:r>
        <w:rPr>
          <w:b/>
          <w:bCs/>
        </w:rPr>
        <w:t xml:space="preserve">. </w:t>
      </w:r>
      <w:r>
        <w:t>Le niveau très bas de 2020 est vraisemblablement lié aux mesures de soutien ; la reprise de l’activité normale a produit un rattrapage.</w:t>
      </w:r>
    </w:p>
    <w:p w:rsidR="0042616A" w:rsidRDefault="008B7C6E">
      <w:pPr>
        <w:pStyle w:val="Paragraphedeliste"/>
        <w:numPr>
          <w:ilvl w:val="0"/>
          <w:numId w:val="2"/>
        </w:numPr>
        <w:spacing w:after="80" w:line="290" w:lineRule="auto"/>
      </w:pPr>
      <w:r>
        <w:rPr>
          <w:b/>
          <w:bCs/>
        </w:rPr>
        <w:t xml:space="preserve">Impayés. </w:t>
      </w:r>
      <w:r>
        <w:t>Ils sont à l’origine d’environ 40 % des défaillances (</w:t>
      </w:r>
      <w:proofErr w:type="spellStart"/>
      <w:r>
        <w:t>Inforisk</w:t>
      </w:r>
      <w:proofErr w:type="spellEnd"/>
      <w:r>
        <w:t xml:space="preserve">) : </w:t>
      </w:r>
      <w:proofErr w:type="gramStart"/>
      <w:r>
        <w:t>une TPE non payée</w:t>
      </w:r>
      <w:proofErr w:type="gramEnd"/>
      <w:r>
        <w:t xml:space="preserve"> par ses clients manque de trésorerie même si son activité est rentable.</w:t>
      </w:r>
    </w:p>
    <w:p w:rsidR="0042616A" w:rsidRDefault="008B7C6E">
      <w:pPr>
        <w:pStyle w:val="Paragraphedeliste"/>
        <w:numPr>
          <w:ilvl w:val="0"/>
          <w:numId w:val="2"/>
        </w:numPr>
        <w:spacing w:after="80" w:line="290" w:lineRule="auto"/>
      </w:pPr>
      <w:r>
        <w:rPr>
          <w:b/>
          <w:bCs/>
        </w:rPr>
        <w:t xml:space="preserve">Fragilité financière des TPE. </w:t>
      </w:r>
      <w:r>
        <w:t>Sous-capitalisation, marché étroit et concurrence, y compris informelle.</w:t>
      </w:r>
    </w:p>
    <w:p w:rsidR="0042616A" w:rsidRDefault="008B7C6E">
      <w:pPr>
        <w:pStyle w:val="Paragraphedeliste"/>
        <w:numPr>
          <w:ilvl w:val="0"/>
          <w:numId w:val="2"/>
        </w:numPr>
        <w:spacing w:after="80" w:line="290" w:lineRule="auto"/>
      </w:pPr>
      <w:r>
        <w:rPr>
          <w:b/>
          <w:bCs/>
        </w:rPr>
        <w:t xml:space="preserve">Chocs successifs. </w:t>
      </w:r>
      <w:r>
        <w:t>Sécheresse, inflation et hausse des coûts, avec une forte exposition des secteurs cycliques (BTP, immobilier).</w:t>
      </w:r>
    </w:p>
    <w:p w:rsidR="0042616A" w:rsidRDefault="008B7C6E">
      <w:pPr>
        <w:pStyle w:val="Paragraphedeliste"/>
        <w:numPr>
          <w:ilvl w:val="0"/>
          <w:numId w:val="2"/>
        </w:numPr>
        <w:spacing w:after="80" w:line="290" w:lineRule="auto"/>
      </w:pPr>
      <w:r>
        <w:rPr>
          <w:b/>
          <w:bCs/>
        </w:rPr>
        <w:t xml:space="preserve">Faible prévention. </w:t>
      </w:r>
      <w:r>
        <w:t>Les entreprises ferment plutôt que de se restructurer : 27 sauvegardes seulement en 2022.</w:t>
      </w:r>
    </w:p>
    <w:p w:rsidR="0042616A" w:rsidRDefault="008B7C6E">
      <w:pPr>
        <w:spacing w:after="120" w:line="300" w:lineRule="auto"/>
        <w:jc w:val="both"/>
      </w:pPr>
      <w:r>
        <w:rPr>
          <w:b/>
          <w:bCs/>
        </w:rPr>
        <w:t xml:space="preserve">Nuance. </w:t>
      </w:r>
      <w:r>
        <w:t xml:space="preserve">Le terme « défaillances » regroupe plusieurs situations et ne se réduit pas à des faillites au sens strict. Il faut le rapporter aux créations d’entreprises, ce que permet l’indice de dynamisme entrepreneurial publié par </w:t>
      </w:r>
      <w:proofErr w:type="spellStart"/>
      <w:r>
        <w:t>Inforisk</w:t>
      </w:r>
      <w:proofErr w:type="spellEnd"/>
      <w:r>
        <w:t>.</w:t>
      </w:r>
    </w:p>
    <w:p w:rsidR="0042616A" w:rsidRDefault="008B7C6E">
      <w:pPr>
        <w:pStyle w:val="Titre1"/>
        <w:pBdr>
          <w:bottom w:val="single" w:sz="6" w:space="4" w:color="1D3557"/>
        </w:pBdr>
      </w:pPr>
      <w:r>
        <w:rPr>
          <w:color w:val="1D3557"/>
        </w:rPr>
        <w:t>3. Qu’est-ce qui freine la croissance ?</w:t>
      </w:r>
    </w:p>
    <w:p w:rsidR="0042616A" w:rsidRDefault="008B7C6E">
      <w:pPr>
        <w:pStyle w:val="Titre2"/>
      </w:pPr>
      <w:r>
        <w:rPr>
          <w:color w:val="B23A48"/>
        </w:rPr>
        <w:t>3.1 Les faits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1800"/>
      </w:tblGrid>
      <w:tr w:rsidR="0042616A">
        <w:trPr>
          <w:tblHeader/>
        </w:trPr>
        <w:tc>
          <w:tcPr>
            <w:tcW w:w="3400" w:type="dxa"/>
            <w:tcBorders>
              <w:top w:val="single" w:sz="4" w:space="0" w:color="BBBBBB"/>
              <w:left w:val="single" w:sz="4" w:space="0" w:color="BBBBBB"/>
              <w:bottom w:val="single" w:sz="4" w:space="0" w:color="BBBBBB"/>
              <w:right w:val="single" w:sz="4" w:space="0" w:color="BBBBBB"/>
            </w:tcBorders>
            <w:shd w:val="clear" w:color="auto" w:fill="1D3557"/>
            <w:tcMar>
              <w:top w:w="70" w:type="dxa"/>
              <w:left w:w="110" w:type="dxa"/>
              <w:bottom w:w="70" w:type="dxa"/>
              <w:right w:w="110" w:type="dxa"/>
            </w:tcMar>
          </w:tcPr>
          <w:p w:rsidR="0042616A" w:rsidRDefault="008B7C6E">
            <w:r>
              <w:rPr>
                <w:b/>
                <w:bCs/>
                <w:color w:val="FFFFFF"/>
                <w:sz w:val="20"/>
                <w:szCs w:val="20"/>
              </w:rPr>
              <w:lastRenderedPageBreak/>
              <w:t>Indicateur</w:t>
            </w:r>
          </w:p>
        </w:tc>
        <w:tc>
          <w:tcPr>
            <w:tcW w:w="1800" w:type="dxa"/>
            <w:tcBorders>
              <w:top w:val="single" w:sz="4" w:space="0" w:color="BBBBBB"/>
              <w:left w:val="single" w:sz="4" w:space="0" w:color="BBBBBB"/>
              <w:bottom w:val="single" w:sz="4" w:space="0" w:color="BBBBBB"/>
              <w:right w:val="single" w:sz="4" w:space="0" w:color="BBBBBB"/>
            </w:tcBorders>
            <w:shd w:val="clear" w:color="auto" w:fill="1D3557"/>
            <w:tcMar>
              <w:top w:w="70" w:type="dxa"/>
              <w:left w:w="110" w:type="dxa"/>
              <w:bottom w:w="70" w:type="dxa"/>
              <w:right w:w="110" w:type="dxa"/>
            </w:tcMar>
          </w:tcPr>
          <w:p w:rsidR="0042616A" w:rsidRDefault="008B7C6E">
            <w:pPr>
              <w:jc w:val="center"/>
            </w:pPr>
            <w:r>
              <w:rPr>
                <w:b/>
                <w:bCs/>
                <w:color w:val="FFFFFF"/>
                <w:sz w:val="20"/>
                <w:szCs w:val="20"/>
              </w:rPr>
              <w:t>2024</w:t>
            </w:r>
          </w:p>
        </w:tc>
        <w:tc>
          <w:tcPr>
            <w:tcW w:w="1800" w:type="dxa"/>
            <w:tcBorders>
              <w:top w:val="single" w:sz="4" w:space="0" w:color="BBBBBB"/>
              <w:left w:val="single" w:sz="4" w:space="0" w:color="BBBBBB"/>
              <w:bottom w:val="single" w:sz="4" w:space="0" w:color="BBBBBB"/>
              <w:right w:val="single" w:sz="4" w:space="0" w:color="BBBBBB"/>
            </w:tcBorders>
            <w:shd w:val="clear" w:color="auto" w:fill="1D3557"/>
            <w:tcMar>
              <w:top w:w="70" w:type="dxa"/>
              <w:left w:w="110" w:type="dxa"/>
              <w:bottom w:w="70" w:type="dxa"/>
              <w:right w:w="110" w:type="dxa"/>
            </w:tcMar>
          </w:tcPr>
          <w:p w:rsidR="0042616A" w:rsidRDefault="008B7C6E">
            <w:pPr>
              <w:jc w:val="center"/>
            </w:pPr>
            <w:r>
              <w:rPr>
                <w:b/>
                <w:bCs/>
                <w:color w:val="FFFFFF"/>
                <w:sz w:val="20"/>
                <w:szCs w:val="20"/>
              </w:rPr>
              <w:t>2025</w:t>
            </w:r>
          </w:p>
        </w:tc>
      </w:tr>
      <w:tr w:rsidR="0042616A">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Croissance du PIB réel</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4,4 %</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4,9 %</w:t>
            </w:r>
          </w:p>
        </w:tc>
      </w:tr>
      <w:tr w:rsidR="0042616A">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Valeur ajoutée agricole</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−5,7 %</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+8,2 %</w:t>
            </w:r>
          </w:p>
        </w:tc>
      </w:tr>
      <w:tr w:rsidR="0042616A">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Croissance hors agriculture</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 5,1 %*</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3,9 %</w:t>
            </w:r>
          </w:p>
        </w:tc>
      </w:tr>
    </w:tbl>
    <w:p w:rsidR="0042616A" w:rsidRDefault="008B7C6E">
      <w:pPr>
        <w:spacing w:before="60" w:after="200"/>
      </w:pPr>
      <w:r>
        <w:rPr>
          <w:i/>
          <w:iCs/>
          <w:color w:val="666666"/>
          <w:sz w:val="17"/>
          <w:szCs w:val="17"/>
        </w:rPr>
        <w:t>Source : HCP, comptes nationaux. *À recouper.</w:t>
      </w:r>
    </w:p>
    <w:p w:rsidR="0042616A" w:rsidRDefault="008B7C6E">
      <w:pPr>
        <w:spacing w:after="120" w:line="300" w:lineRule="auto"/>
        <w:jc w:val="both"/>
      </w:pPr>
      <w:r>
        <w:t>La croissance de 2025 est la meilleure depuis 2021 hors rebond post-</w:t>
      </w:r>
      <w:proofErr w:type="spellStart"/>
      <w:r>
        <w:t>Covid</w:t>
      </w:r>
      <w:proofErr w:type="spellEnd"/>
      <w:r>
        <w:t>, mais elle s’explique surtout par la reprise agricole après la sécheresse. Les activités non agricoles ralentissent.</w:t>
      </w:r>
    </w:p>
    <w:p w:rsidR="0042616A" w:rsidRDefault="008B7C6E">
      <w:pPr>
        <w:pStyle w:val="Titre2"/>
      </w:pPr>
      <w:r>
        <w:rPr>
          <w:color w:val="B23A48"/>
        </w:rPr>
        <w:t>3.2 Les principaux freins</w:t>
      </w:r>
    </w:p>
    <w:p w:rsidR="0042616A" w:rsidRDefault="008B7C6E">
      <w:pPr>
        <w:pStyle w:val="Paragraphedeliste"/>
        <w:numPr>
          <w:ilvl w:val="0"/>
          <w:numId w:val="2"/>
        </w:numPr>
        <w:spacing w:after="80" w:line="290" w:lineRule="auto"/>
      </w:pPr>
      <w:r>
        <w:rPr>
          <w:b/>
          <w:bCs/>
        </w:rPr>
        <w:t xml:space="preserve">Dépendance à la pluie. </w:t>
      </w:r>
      <w:r>
        <w:t>L’agriculture pèse 12 % du PIB mais 30 % de l’emploi ; la pluviométrie explique environ 37 % de la variance du PIB (Direction générale du Trésor).</w:t>
      </w:r>
    </w:p>
    <w:p w:rsidR="0042616A" w:rsidRDefault="008B7C6E">
      <w:pPr>
        <w:pStyle w:val="Paragraphedeliste"/>
        <w:numPr>
          <w:ilvl w:val="0"/>
          <w:numId w:val="2"/>
        </w:numPr>
        <w:spacing w:after="80" w:line="290" w:lineRule="auto"/>
      </w:pPr>
      <w:r>
        <w:rPr>
          <w:b/>
          <w:bCs/>
        </w:rPr>
        <w:t xml:space="preserve">Informel. </w:t>
      </w:r>
      <w:r>
        <w:t>Plus de 2 millions d’unités de production informelles et plus de 75 % de l’emploi hors circuits contributifs (HCP), ce qui pèse sur la productivité et les recettes.</w:t>
      </w:r>
    </w:p>
    <w:p w:rsidR="0042616A" w:rsidRDefault="008B7C6E">
      <w:pPr>
        <w:pStyle w:val="Paragraphedeliste"/>
        <w:numPr>
          <w:ilvl w:val="0"/>
          <w:numId w:val="2"/>
        </w:numPr>
        <w:spacing w:after="80" w:line="290" w:lineRule="auto"/>
      </w:pPr>
      <w:r>
        <w:rPr>
          <w:b/>
          <w:bCs/>
        </w:rPr>
        <w:t xml:space="preserve">Main-d’œuvre sous-utilisée. </w:t>
      </w:r>
      <w:r>
        <w:t>Taux d’activité national de 43,5 % ; 19,1 % pour les femmes contre 68,6 % pour les hommes ; environ un jeune de 15 à 29 ans sur trois est NEET.</w:t>
      </w:r>
    </w:p>
    <w:p w:rsidR="0042616A" w:rsidRDefault="008B7C6E">
      <w:pPr>
        <w:pStyle w:val="Paragraphedeliste"/>
        <w:numPr>
          <w:ilvl w:val="0"/>
          <w:numId w:val="2"/>
        </w:numPr>
        <w:spacing w:after="80" w:line="290" w:lineRule="auto"/>
      </w:pPr>
      <w:r>
        <w:rPr>
          <w:b/>
          <w:bCs/>
        </w:rPr>
        <w:t xml:space="preserve">Déséquilibres extérieurs et budgétaires. </w:t>
      </w:r>
      <w:r>
        <w:t>Déficit courant de 2,5 % du PIB en 2025 (contre 0,6 % en 2023) et déficit budgétaire de 3,5 %.</w:t>
      </w:r>
    </w:p>
    <w:p w:rsidR="0042616A" w:rsidRDefault="008B7C6E">
      <w:pPr>
        <w:pStyle w:val="Paragraphedeliste"/>
        <w:numPr>
          <w:ilvl w:val="0"/>
          <w:numId w:val="2"/>
        </w:numPr>
        <w:spacing w:after="80" w:line="290" w:lineRule="auto"/>
      </w:pPr>
      <w:r>
        <w:rPr>
          <w:b/>
          <w:bCs/>
        </w:rPr>
        <w:t xml:space="preserve">Chocs externes. </w:t>
      </w:r>
      <w:r>
        <w:t>Le HCP signale en 2026 un renchérissement de l’énergie lié aux tensions au Moyen-Orient.</w:t>
      </w:r>
    </w:p>
    <w:p w:rsidR="0042616A" w:rsidRDefault="008B7C6E">
      <w:pPr>
        <w:spacing w:after="120" w:line="300" w:lineRule="auto"/>
        <w:jc w:val="both"/>
      </w:pPr>
      <w:r>
        <w:t>L’investissement progresse fortement (+10,9 % en 2024), mais cet effort ne se traduit pas encore par une croissance non agricole plus soutenue ni par un nombre d’emplois proportionnel.</w:t>
      </w:r>
    </w:p>
    <w:p w:rsidR="0042616A" w:rsidRDefault="008B7C6E">
      <w:pPr>
        <w:pStyle w:val="Titre1"/>
        <w:pBdr>
          <w:bottom w:val="single" w:sz="6" w:space="4" w:color="1D3557"/>
        </w:pBdr>
      </w:pPr>
      <w:r>
        <w:rPr>
          <w:color w:val="1D3557"/>
        </w:rPr>
        <w:t>4. Le chômage augmente-t-il « sans cesse » ?</w:t>
      </w:r>
    </w:p>
    <w:p w:rsidR="0042616A" w:rsidRDefault="008B7C6E">
      <w:pPr>
        <w:pStyle w:val="Titre2"/>
      </w:pPr>
      <w:r>
        <w:rPr>
          <w:color w:val="B23A48"/>
        </w:rPr>
        <w:t>4.1 Ce que disent les chiffres</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tblGrid>
      <w:tr w:rsidR="0042616A">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D3557"/>
            <w:tcMar>
              <w:top w:w="70" w:type="dxa"/>
              <w:left w:w="110" w:type="dxa"/>
              <w:bottom w:w="70" w:type="dxa"/>
              <w:right w:w="110" w:type="dxa"/>
            </w:tcMar>
          </w:tcPr>
          <w:p w:rsidR="0042616A" w:rsidRDefault="008B7C6E">
            <w:r>
              <w:rPr>
                <w:b/>
                <w:bCs/>
                <w:color w:val="FFFFFF"/>
                <w:sz w:val="20"/>
                <w:szCs w:val="20"/>
              </w:rPr>
              <w:t>Année</w:t>
            </w:r>
          </w:p>
        </w:tc>
        <w:tc>
          <w:tcPr>
            <w:tcW w:w="2600" w:type="dxa"/>
            <w:tcBorders>
              <w:top w:val="single" w:sz="4" w:space="0" w:color="BBBBBB"/>
              <w:left w:val="single" w:sz="4" w:space="0" w:color="BBBBBB"/>
              <w:bottom w:val="single" w:sz="4" w:space="0" w:color="BBBBBB"/>
              <w:right w:val="single" w:sz="4" w:space="0" w:color="BBBBBB"/>
            </w:tcBorders>
            <w:shd w:val="clear" w:color="auto" w:fill="1D3557"/>
            <w:tcMar>
              <w:top w:w="70" w:type="dxa"/>
              <w:left w:w="110" w:type="dxa"/>
              <w:bottom w:w="70" w:type="dxa"/>
              <w:right w:w="110" w:type="dxa"/>
            </w:tcMar>
          </w:tcPr>
          <w:p w:rsidR="0042616A" w:rsidRDefault="008B7C6E">
            <w:pPr>
              <w:jc w:val="center"/>
            </w:pPr>
            <w:r>
              <w:rPr>
                <w:b/>
                <w:bCs/>
                <w:color w:val="FFFFFF"/>
                <w:sz w:val="20"/>
                <w:szCs w:val="20"/>
              </w:rPr>
              <w:t>Taux de chômage national</w:t>
            </w:r>
          </w:p>
        </w:tc>
      </w:tr>
      <w:tr w:rsidR="0042616A">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2019</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9,2 %</w:t>
            </w:r>
          </w:p>
        </w:tc>
      </w:tr>
      <w:tr w:rsidR="0042616A">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2020</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11,9 %</w:t>
            </w:r>
          </w:p>
        </w:tc>
      </w:tr>
      <w:tr w:rsidR="0042616A">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2021</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12,3 %</w:t>
            </w:r>
          </w:p>
        </w:tc>
      </w:tr>
      <w:tr w:rsidR="0042616A">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2022</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11,8 %</w:t>
            </w:r>
          </w:p>
        </w:tc>
      </w:tr>
      <w:tr w:rsidR="0042616A">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2023</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13,0 %</w:t>
            </w:r>
          </w:p>
        </w:tc>
      </w:tr>
      <w:tr w:rsidR="0042616A">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2024</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13,3 %</w:t>
            </w:r>
          </w:p>
        </w:tc>
      </w:tr>
      <w:tr w:rsidR="0042616A">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2025</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13,0 %</w:t>
            </w:r>
          </w:p>
        </w:tc>
      </w:tr>
    </w:tbl>
    <w:p w:rsidR="0042616A" w:rsidRDefault="008B7C6E">
      <w:pPr>
        <w:spacing w:before="60" w:after="200"/>
      </w:pPr>
      <w:r>
        <w:rPr>
          <w:i/>
          <w:iCs/>
          <w:color w:val="666666"/>
          <w:sz w:val="17"/>
          <w:szCs w:val="17"/>
        </w:rPr>
        <w:t>Source : HCP. Valeurs 2019-2023 à recouper sur hcp.ma ; 2024 et 2025 vérifiées.</w:t>
      </w:r>
    </w:p>
    <w:p w:rsidR="0042616A" w:rsidRDefault="008B7C6E">
      <w:pPr>
        <w:spacing w:after="120" w:line="300" w:lineRule="auto"/>
        <w:jc w:val="both"/>
      </w:pPr>
      <w:r>
        <w:t>La hausse depuis 2019 est réelle (+3,8 points), mais elle n’est pas continue : baisse en 2022 puis recul de 0,3 point en 2025. Cette année-là, l’économie a créé 193 000 emplois (contre 82 000 en 2024) et le nombre de chômeurs a reculé de 17 000, à 1 621 000.</w:t>
      </w:r>
    </w:p>
    <w:p w:rsidR="0042616A" w:rsidRDefault="008B7C6E">
      <w:pPr>
        <w:pStyle w:val="Titre2"/>
      </w:pPr>
      <w:r>
        <w:rPr>
          <w:color w:val="B23A48"/>
        </w:rPr>
        <w:lastRenderedPageBreak/>
        <w:t>4.2 Pourquoi il reste élevé</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1800"/>
      </w:tblGrid>
      <w:tr w:rsidR="0042616A">
        <w:trPr>
          <w:tblHeader/>
        </w:trPr>
        <w:tc>
          <w:tcPr>
            <w:tcW w:w="3400" w:type="dxa"/>
            <w:tcBorders>
              <w:top w:val="single" w:sz="4" w:space="0" w:color="BBBBBB"/>
              <w:left w:val="single" w:sz="4" w:space="0" w:color="BBBBBB"/>
              <w:bottom w:val="single" w:sz="4" w:space="0" w:color="BBBBBB"/>
              <w:right w:val="single" w:sz="4" w:space="0" w:color="BBBBBB"/>
            </w:tcBorders>
            <w:shd w:val="clear" w:color="auto" w:fill="1D3557"/>
            <w:tcMar>
              <w:top w:w="70" w:type="dxa"/>
              <w:left w:w="110" w:type="dxa"/>
              <w:bottom w:w="70" w:type="dxa"/>
              <w:right w:w="110" w:type="dxa"/>
            </w:tcMar>
          </w:tcPr>
          <w:p w:rsidR="0042616A" w:rsidRDefault="008B7C6E">
            <w:r>
              <w:rPr>
                <w:b/>
                <w:bCs/>
                <w:color w:val="FFFFFF"/>
                <w:sz w:val="20"/>
                <w:szCs w:val="20"/>
              </w:rPr>
              <w:t>Catégorie</w:t>
            </w:r>
          </w:p>
        </w:tc>
        <w:tc>
          <w:tcPr>
            <w:tcW w:w="1800" w:type="dxa"/>
            <w:tcBorders>
              <w:top w:val="single" w:sz="4" w:space="0" w:color="BBBBBB"/>
              <w:left w:val="single" w:sz="4" w:space="0" w:color="BBBBBB"/>
              <w:bottom w:val="single" w:sz="4" w:space="0" w:color="BBBBBB"/>
              <w:right w:val="single" w:sz="4" w:space="0" w:color="BBBBBB"/>
            </w:tcBorders>
            <w:shd w:val="clear" w:color="auto" w:fill="1D3557"/>
            <w:tcMar>
              <w:top w:w="70" w:type="dxa"/>
              <w:left w:w="110" w:type="dxa"/>
              <w:bottom w:w="70" w:type="dxa"/>
              <w:right w:w="110" w:type="dxa"/>
            </w:tcMar>
          </w:tcPr>
          <w:p w:rsidR="0042616A" w:rsidRDefault="008B7C6E">
            <w:pPr>
              <w:jc w:val="center"/>
            </w:pPr>
            <w:r>
              <w:rPr>
                <w:b/>
                <w:bCs/>
                <w:color w:val="FFFFFF"/>
                <w:sz w:val="20"/>
                <w:szCs w:val="20"/>
              </w:rPr>
              <w:t>2024</w:t>
            </w:r>
          </w:p>
        </w:tc>
        <w:tc>
          <w:tcPr>
            <w:tcW w:w="1800" w:type="dxa"/>
            <w:tcBorders>
              <w:top w:val="single" w:sz="4" w:space="0" w:color="BBBBBB"/>
              <w:left w:val="single" w:sz="4" w:space="0" w:color="BBBBBB"/>
              <w:bottom w:val="single" w:sz="4" w:space="0" w:color="BBBBBB"/>
              <w:right w:val="single" w:sz="4" w:space="0" w:color="BBBBBB"/>
            </w:tcBorders>
            <w:shd w:val="clear" w:color="auto" w:fill="1D3557"/>
            <w:tcMar>
              <w:top w:w="70" w:type="dxa"/>
              <w:left w:w="110" w:type="dxa"/>
              <w:bottom w:w="70" w:type="dxa"/>
              <w:right w:w="110" w:type="dxa"/>
            </w:tcMar>
          </w:tcPr>
          <w:p w:rsidR="0042616A" w:rsidRDefault="008B7C6E">
            <w:pPr>
              <w:jc w:val="center"/>
            </w:pPr>
            <w:r>
              <w:rPr>
                <w:b/>
                <w:bCs/>
                <w:color w:val="FFFFFF"/>
                <w:sz w:val="20"/>
                <w:szCs w:val="20"/>
              </w:rPr>
              <w:t>2025</w:t>
            </w:r>
          </w:p>
        </w:tc>
      </w:tr>
      <w:tr w:rsidR="0042616A">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Jeunes de 15 à 24 ans</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36,7 %</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37,2 %</w:t>
            </w:r>
          </w:p>
        </w:tc>
      </w:tr>
      <w:tr w:rsidR="0042616A">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Femmes</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19,4 %</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20,5 %</w:t>
            </w:r>
          </w:p>
        </w:tc>
      </w:tr>
      <w:tr w:rsidR="0042616A">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Diplômés</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19,6 %</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19,1 %</w:t>
            </w:r>
          </w:p>
        </w:tc>
      </w:tr>
      <w:tr w:rsidR="0042616A">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Milieu urbain</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16,9 %</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16,4 %</w:t>
            </w:r>
          </w:p>
        </w:tc>
      </w:tr>
      <w:tr w:rsidR="0042616A">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r>
              <w:rPr>
                <w:color w:val="000000"/>
                <w:sz w:val="20"/>
                <w:szCs w:val="20"/>
              </w:rPr>
              <w:t>Milieu rural</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6,8 %</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rsidR="0042616A" w:rsidRDefault="008B7C6E">
            <w:pPr>
              <w:jc w:val="center"/>
            </w:pPr>
            <w:r>
              <w:rPr>
                <w:color w:val="000000"/>
                <w:sz w:val="20"/>
                <w:szCs w:val="20"/>
              </w:rPr>
              <w:t>6,6 %</w:t>
            </w:r>
          </w:p>
        </w:tc>
      </w:tr>
    </w:tbl>
    <w:p w:rsidR="0042616A" w:rsidRDefault="008B7C6E">
      <w:pPr>
        <w:spacing w:before="60" w:after="200"/>
      </w:pPr>
      <w:r>
        <w:rPr>
          <w:i/>
          <w:iCs/>
          <w:color w:val="666666"/>
          <w:sz w:val="17"/>
          <w:szCs w:val="17"/>
        </w:rPr>
        <w:t>Source : HCP.</w:t>
      </w:r>
    </w:p>
    <w:p w:rsidR="0042616A" w:rsidRDefault="008B7C6E">
      <w:pPr>
        <w:pStyle w:val="Paragraphedeliste"/>
        <w:numPr>
          <w:ilvl w:val="0"/>
          <w:numId w:val="2"/>
        </w:numPr>
        <w:spacing w:after="80" w:line="290" w:lineRule="auto"/>
      </w:pPr>
      <w:r>
        <w:rPr>
          <w:b/>
          <w:bCs/>
        </w:rPr>
        <w:t xml:space="preserve">Inadéquation formation-emploi : </w:t>
      </w:r>
      <w:r>
        <w:t>les diplômés sont nettement plus touchés que la moyenne.</w:t>
      </w:r>
    </w:p>
    <w:p w:rsidR="0042616A" w:rsidRDefault="008B7C6E">
      <w:pPr>
        <w:pStyle w:val="Paragraphedeliste"/>
        <w:numPr>
          <w:ilvl w:val="0"/>
          <w:numId w:val="2"/>
        </w:numPr>
        <w:spacing w:after="80" w:line="290" w:lineRule="auto"/>
      </w:pPr>
      <w:r>
        <w:rPr>
          <w:b/>
          <w:bCs/>
        </w:rPr>
        <w:t xml:space="preserve">Chômage long : </w:t>
      </w:r>
      <w:r>
        <w:t>la durée moyenne est passée de 31 à 33 mois, et la part des primo-demandeurs augmente.</w:t>
      </w:r>
    </w:p>
    <w:p w:rsidR="0042616A" w:rsidRDefault="008B7C6E">
      <w:pPr>
        <w:pStyle w:val="Paragraphedeliste"/>
        <w:numPr>
          <w:ilvl w:val="0"/>
          <w:numId w:val="2"/>
        </w:numPr>
        <w:spacing w:after="80" w:line="290" w:lineRule="auto"/>
      </w:pPr>
      <w:r>
        <w:rPr>
          <w:b/>
          <w:bCs/>
        </w:rPr>
        <w:t xml:space="preserve">Sous-emploi : </w:t>
      </w:r>
      <w:r>
        <w:t>10,9 % au niveau national en 2025 (13,2 % en zone rurale).</w:t>
      </w:r>
    </w:p>
    <w:p w:rsidR="0042616A" w:rsidRDefault="008B7C6E">
      <w:pPr>
        <w:pStyle w:val="Paragraphedeliste"/>
        <w:numPr>
          <w:ilvl w:val="0"/>
          <w:numId w:val="2"/>
        </w:numPr>
        <w:spacing w:after="80" w:line="290" w:lineRule="auto"/>
      </w:pPr>
      <w:r>
        <w:rPr>
          <w:b/>
          <w:bCs/>
        </w:rPr>
        <w:t xml:space="preserve">Baisse en partie trompeuse : </w:t>
      </w:r>
      <w:r>
        <w:t>un recul du taux peut refléter une contraction de la population active plutôt que des créations d’emplois.</w:t>
      </w:r>
    </w:p>
    <w:p w:rsidR="0042616A" w:rsidRDefault="008B7C6E">
      <w:pPr>
        <w:pStyle w:val="Paragraphedeliste"/>
        <w:numPr>
          <w:ilvl w:val="0"/>
          <w:numId w:val="2"/>
        </w:numPr>
        <w:spacing w:after="80" w:line="290" w:lineRule="auto"/>
      </w:pPr>
      <w:r>
        <w:rPr>
          <w:b/>
          <w:bCs/>
        </w:rPr>
        <w:t xml:space="preserve">Croissance peu riche en emplois qualifiés : </w:t>
      </w:r>
      <w:r>
        <w:t>elle repose sur l’agriculture et la demande intérieure.</w:t>
      </w:r>
    </w:p>
    <w:p w:rsidR="0042616A" w:rsidRDefault="008B7C6E">
      <w:pPr>
        <w:pStyle w:val="Titre1"/>
        <w:pBdr>
          <w:bottom w:val="single" w:sz="6" w:space="4" w:color="1D3557"/>
        </w:pBdr>
      </w:pPr>
      <w:r>
        <w:rPr>
          <w:color w:val="1D3557"/>
        </w:rPr>
        <w:t>5. Conclusion</w:t>
      </w:r>
    </w:p>
    <w:p w:rsidR="0042616A" w:rsidRDefault="008B7C6E">
      <w:pPr>
        <w:spacing w:after="120" w:line="300" w:lineRule="auto"/>
        <w:jc w:val="both"/>
      </w:pPr>
      <w:r>
        <w:t>Les trois phénomènes ont une racine commune : une économie encore dépendante de l’agriculture pluviale, un tissu de très petites entreprises fragiles, un large secteur informel et une main-d’œuvre sous-utilisée (femmes, jeunes). Le chômage ne progresse pas de façon continue, mais sa concentration sur les jeunes, les femmes et les diplômés, et sa durée, en font un problème durable.</w:t>
      </w:r>
    </w:p>
    <w:p w:rsidR="0042616A" w:rsidRDefault="008B7C6E">
      <w:pPr>
        <w:spacing w:after="120" w:line="300" w:lineRule="auto"/>
        <w:jc w:val="both"/>
      </w:pPr>
      <w:r>
        <w:t>Pistes à approfondir : réduction des délais de paiement, développement de la prévention et de la sauvegarde des entreprises, intégration progressive de l’informel, meilleure insertion des femmes et des jeunes, diversification vers des secteurs plus intensifs en emplois qualifiés.</w:t>
      </w:r>
    </w:p>
    <w:p w:rsidR="0042616A" w:rsidRDefault="008B7C6E">
      <w:pPr>
        <w:pStyle w:val="Titre1"/>
        <w:pBdr>
          <w:bottom w:val="single" w:sz="6" w:space="4" w:color="1D3557"/>
        </w:pBdr>
      </w:pPr>
      <w:r>
        <w:rPr>
          <w:color w:val="1D3557"/>
        </w:rPr>
        <w:t>6. Sources</w:t>
      </w:r>
    </w:p>
    <w:p w:rsidR="0042616A" w:rsidRDefault="008B7C6E">
      <w:pPr>
        <w:pStyle w:val="Paragraphedeliste"/>
        <w:numPr>
          <w:ilvl w:val="0"/>
          <w:numId w:val="2"/>
        </w:numPr>
        <w:spacing w:after="80" w:line="290" w:lineRule="auto"/>
      </w:pPr>
      <w:r>
        <w:t>HCP – Situation du marché du travail en 2025 : https://www.hcp.ma/Situation-du-marche-du-travail-en-2025_a4248.html</w:t>
      </w:r>
    </w:p>
    <w:p w:rsidR="0042616A" w:rsidRDefault="008B7C6E">
      <w:pPr>
        <w:pStyle w:val="Paragraphedeliste"/>
        <w:numPr>
          <w:ilvl w:val="0"/>
          <w:numId w:val="2"/>
        </w:numPr>
        <w:spacing w:after="80" w:line="290" w:lineRule="auto"/>
      </w:pPr>
      <w:r>
        <w:t>HCP – Situation économique nationale en 2025 : https://www.hcp.ma/Situation-economique-nationale-en-2025_a4317.html</w:t>
      </w:r>
    </w:p>
    <w:p w:rsidR="0042616A" w:rsidRDefault="008B7C6E">
      <w:pPr>
        <w:pStyle w:val="Paragraphedeliste"/>
        <w:numPr>
          <w:ilvl w:val="0"/>
          <w:numId w:val="2"/>
        </w:numPr>
        <w:spacing w:after="80" w:line="290" w:lineRule="auto"/>
      </w:pPr>
      <w:r>
        <w:t>HCP – Enquête nationale sur le secteur informel 2023/24 : https://www.hcp.ma/Rapport-des-resultats-de-l-Enquete-Nationale-sur-le-Secteur-Informel-2023-2024-Mai-2025_a4110.html</w:t>
      </w:r>
    </w:p>
    <w:p w:rsidR="0042616A" w:rsidRDefault="008B7C6E">
      <w:pPr>
        <w:pStyle w:val="Paragraphedeliste"/>
        <w:numPr>
          <w:ilvl w:val="0"/>
          <w:numId w:val="2"/>
        </w:numPr>
        <w:spacing w:after="80" w:line="290" w:lineRule="auto"/>
      </w:pPr>
      <w:r>
        <w:t>HCP – Jeunes NEET, profilage statistique : https://www.hcp.ma/Jeunes-NEET-au-Maroc-Profilage-statistique-au-profit-de-l-action-publique_a4301.html</w:t>
      </w:r>
    </w:p>
    <w:p w:rsidR="0042616A" w:rsidRDefault="008B7C6E" w:rsidP="00E8241E">
      <w:pPr>
        <w:pStyle w:val="Paragraphedeliste"/>
        <w:numPr>
          <w:ilvl w:val="0"/>
          <w:numId w:val="2"/>
        </w:numPr>
        <w:spacing w:after="80" w:line="290" w:lineRule="auto"/>
      </w:pPr>
      <w:proofErr w:type="spellStart"/>
      <w:r>
        <w:t>Inforisk</w:t>
      </w:r>
      <w:proofErr w:type="spellEnd"/>
      <w:r>
        <w:t xml:space="preserve"> – Défaillances d’entreprises : https://inforisk.ma</w:t>
      </w:r>
    </w:p>
    <w:sectPr w:rsidR="0042616A">
      <w:footerReference w:type="default" r:id="rId8"/>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2CB9" w:rsidRDefault="005E2CB9">
      <w:r>
        <w:separator/>
      </w:r>
    </w:p>
  </w:endnote>
  <w:endnote w:type="continuationSeparator" w:id="0">
    <w:p w:rsidR="005E2CB9" w:rsidRDefault="005E2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616A" w:rsidRDefault="008B7C6E">
    <w:pPr>
      <w:jc w:val="center"/>
    </w:pPr>
    <w:r>
      <w:rPr>
        <w:color w:val="666666"/>
        <w:sz w:val="16"/>
        <w:szCs w:val="16"/>
      </w:rPr>
      <w:t xml:space="preserve">Maroc – Défaillances, croissance et </w:t>
    </w:r>
    <w:proofErr w:type="gramStart"/>
    <w:r>
      <w:rPr>
        <w:color w:val="666666"/>
        <w:sz w:val="16"/>
        <w:szCs w:val="16"/>
      </w:rPr>
      <w:t>chômage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E8241E">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2CB9" w:rsidRDefault="005E2CB9">
      <w:r>
        <w:separator/>
      </w:r>
    </w:p>
  </w:footnote>
  <w:footnote w:type="continuationSeparator" w:id="0">
    <w:p w:rsidR="005E2CB9" w:rsidRDefault="005E2C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624F66"/>
    <w:multiLevelType w:val="hybridMultilevel"/>
    <w:tmpl w:val="8D9E4C84"/>
    <w:lvl w:ilvl="0" w:tplc="B14ADCF2">
      <w:start w:val="1"/>
      <w:numFmt w:val="bullet"/>
      <w:lvlText w:val="•"/>
      <w:lvlJc w:val="left"/>
      <w:pPr>
        <w:ind w:left="540" w:hanging="270"/>
      </w:pPr>
    </w:lvl>
    <w:lvl w:ilvl="1" w:tplc="CF382C9A">
      <w:numFmt w:val="decimal"/>
      <w:lvlText w:val=""/>
      <w:lvlJc w:val="left"/>
    </w:lvl>
    <w:lvl w:ilvl="2" w:tplc="6082AF98">
      <w:numFmt w:val="decimal"/>
      <w:lvlText w:val=""/>
      <w:lvlJc w:val="left"/>
    </w:lvl>
    <w:lvl w:ilvl="3" w:tplc="0BE6B290">
      <w:numFmt w:val="decimal"/>
      <w:lvlText w:val=""/>
      <w:lvlJc w:val="left"/>
    </w:lvl>
    <w:lvl w:ilvl="4" w:tplc="C5CE1398">
      <w:numFmt w:val="decimal"/>
      <w:lvlText w:val=""/>
      <w:lvlJc w:val="left"/>
    </w:lvl>
    <w:lvl w:ilvl="5" w:tplc="25AC8652">
      <w:numFmt w:val="decimal"/>
      <w:lvlText w:val=""/>
      <w:lvlJc w:val="left"/>
    </w:lvl>
    <w:lvl w:ilvl="6" w:tplc="791CCA2C">
      <w:numFmt w:val="decimal"/>
      <w:lvlText w:val=""/>
      <w:lvlJc w:val="left"/>
    </w:lvl>
    <w:lvl w:ilvl="7" w:tplc="7586242A">
      <w:numFmt w:val="decimal"/>
      <w:lvlText w:val=""/>
      <w:lvlJc w:val="left"/>
    </w:lvl>
    <w:lvl w:ilvl="8" w:tplc="B074ED5E">
      <w:numFmt w:val="decimal"/>
      <w:lvlText w:val=""/>
      <w:lvlJc w:val="left"/>
    </w:lvl>
  </w:abstractNum>
  <w:abstractNum w:abstractNumId="1" w15:restartNumberingAfterBreak="0">
    <w:nsid w:val="7FBB059C"/>
    <w:multiLevelType w:val="hybridMultilevel"/>
    <w:tmpl w:val="E910B21A"/>
    <w:lvl w:ilvl="0" w:tplc="0E4CF358">
      <w:start w:val="1"/>
      <w:numFmt w:val="bullet"/>
      <w:lvlText w:val="●"/>
      <w:lvlJc w:val="left"/>
      <w:pPr>
        <w:ind w:left="720" w:hanging="360"/>
      </w:pPr>
    </w:lvl>
    <w:lvl w:ilvl="1" w:tplc="29946EE0">
      <w:start w:val="1"/>
      <w:numFmt w:val="bullet"/>
      <w:lvlText w:val="○"/>
      <w:lvlJc w:val="left"/>
      <w:pPr>
        <w:ind w:left="1440" w:hanging="360"/>
      </w:pPr>
    </w:lvl>
    <w:lvl w:ilvl="2" w:tplc="22CC517E">
      <w:start w:val="1"/>
      <w:numFmt w:val="bullet"/>
      <w:lvlText w:val="■"/>
      <w:lvlJc w:val="left"/>
      <w:pPr>
        <w:ind w:left="2160" w:hanging="360"/>
      </w:pPr>
    </w:lvl>
    <w:lvl w:ilvl="3" w:tplc="D0E44B62">
      <w:start w:val="1"/>
      <w:numFmt w:val="bullet"/>
      <w:lvlText w:val="●"/>
      <w:lvlJc w:val="left"/>
      <w:pPr>
        <w:ind w:left="2880" w:hanging="360"/>
      </w:pPr>
    </w:lvl>
    <w:lvl w:ilvl="4" w:tplc="8606F84A">
      <w:start w:val="1"/>
      <w:numFmt w:val="bullet"/>
      <w:lvlText w:val="○"/>
      <w:lvlJc w:val="left"/>
      <w:pPr>
        <w:ind w:left="3600" w:hanging="360"/>
      </w:pPr>
    </w:lvl>
    <w:lvl w:ilvl="5" w:tplc="C34605AE">
      <w:start w:val="1"/>
      <w:numFmt w:val="bullet"/>
      <w:lvlText w:val="■"/>
      <w:lvlJc w:val="left"/>
      <w:pPr>
        <w:ind w:left="4320" w:hanging="360"/>
      </w:pPr>
    </w:lvl>
    <w:lvl w:ilvl="6" w:tplc="61B4C426">
      <w:start w:val="1"/>
      <w:numFmt w:val="bullet"/>
      <w:lvlText w:val="●"/>
      <w:lvlJc w:val="left"/>
      <w:pPr>
        <w:ind w:left="5040" w:hanging="360"/>
      </w:pPr>
    </w:lvl>
    <w:lvl w:ilvl="7" w:tplc="71E26280">
      <w:start w:val="1"/>
      <w:numFmt w:val="bullet"/>
      <w:lvlText w:val="●"/>
      <w:lvlJc w:val="left"/>
      <w:pPr>
        <w:ind w:left="5760" w:hanging="360"/>
      </w:pPr>
    </w:lvl>
    <w:lvl w:ilvl="8" w:tplc="29FCFCC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16A"/>
    <w:rsid w:val="00064084"/>
    <w:rsid w:val="0042616A"/>
    <w:rsid w:val="005E2CB9"/>
    <w:rsid w:val="008B7C6E"/>
    <w:rsid w:val="00E8241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3DFD9"/>
  <w15:docId w15:val="{E8F55148-6364-40CA-9DBD-F11E6B4E7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sz w:val="30"/>
      <w:szCs w:val="30"/>
    </w:rPr>
  </w:style>
  <w:style w:type="paragraph" w:styleId="Titre2">
    <w:name w:val="heading 2"/>
    <w:uiPriority w:val="9"/>
    <w:unhideWhenUsed/>
    <w:qFormat/>
    <w:pPr>
      <w:spacing w:before="240" w:after="100"/>
      <w:outlineLvl w:val="1"/>
    </w:pPr>
    <w:rPr>
      <w:b/>
      <w:bCs/>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8241E"/>
    <w:pPr>
      <w:tabs>
        <w:tab w:val="center" w:pos="4536"/>
        <w:tab w:val="right" w:pos="9072"/>
      </w:tabs>
    </w:pPr>
  </w:style>
  <w:style w:type="character" w:customStyle="1" w:styleId="En-tteCar">
    <w:name w:val="En-tête Car"/>
    <w:basedOn w:val="Policepardfaut"/>
    <w:link w:val="En-tte"/>
    <w:uiPriority w:val="99"/>
    <w:rsid w:val="00E8241E"/>
  </w:style>
  <w:style w:type="paragraph" w:styleId="Pieddepage">
    <w:name w:val="footer"/>
    <w:basedOn w:val="Normal"/>
    <w:link w:val="PieddepageCar"/>
    <w:uiPriority w:val="99"/>
    <w:unhideWhenUsed/>
    <w:rsid w:val="00E8241E"/>
    <w:pPr>
      <w:tabs>
        <w:tab w:val="center" w:pos="4536"/>
        <w:tab w:val="right" w:pos="9072"/>
      </w:tabs>
    </w:pPr>
  </w:style>
  <w:style w:type="character" w:customStyle="1" w:styleId="PieddepageCar">
    <w:name w:val="Pied de page Car"/>
    <w:basedOn w:val="Policepardfaut"/>
    <w:link w:val="Pieddepage"/>
    <w:uiPriority w:val="99"/>
    <w:rsid w:val="00E82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1256</Words>
  <Characters>6908</Characters>
  <Application>Microsoft Office Word</Application>
  <DocSecurity>0</DocSecurity>
  <Lines>57</Lines>
  <Paragraphs>16</Paragraphs>
  <ScaleCrop>false</ScaleCrop>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Défaillances, croissance et chômage au Maroc</dc:title>
  <dc:creator>Analyse Maroc</dc:creator>
  <cp:lastModifiedBy>ikram riahi</cp:lastModifiedBy>
  <cp:revision>2</cp:revision>
  <dcterms:created xsi:type="dcterms:W3CDTF">2026-09-28T23:50:00Z</dcterms:created>
  <dcterms:modified xsi:type="dcterms:W3CDTF">2026-09-28T23:50:00Z</dcterms:modified>
</cp:coreProperties>
</file>