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AA3859" w14:textId="66500483" w:rsidR="00A31D51" w:rsidRPr="00612496" w:rsidRDefault="00612496" w:rsidP="007327DF">
      <w:pPr>
        <w:pStyle w:val="ListParagraph"/>
        <w:numPr>
          <w:ilvl w:val="0"/>
          <w:numId w:val="1"/>
        </w:numPr>
        <w:spacing w:after="0" w:line="276" w:lineRule="auto"/>
        <w:ind w:left="357" w:hanging="357"/>
        <w:jc w:val="both"/>
        <w:rPr>
          <w:rFonts w:ascii="Aptos Narrow" w:hAnsi="Aptos Narrow"/>
          <w:b/>
          <w:bCs/>
          <w:sz w:val="20"/>
          <w:szCs w:val="20"/>
        </w:rPr>
      </w:pPr>
      <w:r w:rsidRPr="00612496">
        <w:rPr>
          <w:rFonts w:ascii="Aptos Narrow" w:hAnsi="Aptos Narrow"/>
          <w:b/>
          <w:bCs/>
          <w:sz w:val="20"/>
          <w:szCs w:val="20"/>
        </w:rPr>
        <w:t>Purpose:</w:t>
      </w:r>
    </w:p>
    <w:p w14:paraId="21409E34" w14:textId="0BA8214C" w:rsidR="00A31D51" w:rsidRPr="00612496" w:rsidRDefault="000F57ED" w:rsidP="007327DF">
      <w:pPr>
        <w:spacing w:line="276" w:lineRule="auto"/>
        <w:ind w:left="357"/>
        <w:jc w:val="both"/>
        <w:rPr>
          <w:rFonts w:ascii="Aptos Narrow" w:hAnsi="Aptos Narrow"/>
          <w:sz w:val="20"/>
          <w:szCs w:val="20"/>
        </w:rPr>
      </w:pPr>
      <w:r w:rsidRPr="000F57ED">
        <w:rPr>
          <w:rFonts w:ascii="Aptos Narrow" w:hAnsi="Aptos Narrow"/>
          <w:sz w:val="20"/>
          <w:szCs w:val="20"/>
        </w:rPr>
        <w:t>To describe the method for calculating the fixed carbon content in coal samples.</w:t>
      </w:r>
    </w:p>
    <w:p w14:paraId="4701EBA2" w14:textId="3D7B7756"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Scope:</w:t>
      </w:r>
    </w:p>
    <w:p w14:paraId="2FB98F47" w14:textId="55290539" w:rsidR="00A31D51" w:rsidRPr="00612496" w:rsidRDefault="000F57ED" w:rsidP="007327DF">
      <w:pPr>
        <w:spacing w:line="276" w:lineRule="auto"/>
        <w:ind w:left="357"/>
        <w:jc w:val="both"/>
        <w:rPr>
          <w:rFonts w:ascii="Aptos Narrow" w:hAnsi="Aptos Narrow"/>
          <w:sz w:val="20"/>
          <w:szCs w:val="20"/>
        </w:rPr>
      </w:pPr>
      <w:r w:rsidRPr="000F57ED">
        <w:rPr>
          <w:rFonts w:ascii="Aptos Narrow" w:hAnsi="Aptos Narrow"/>
          <w:sz w:val="20"/>
          <w:szCs w:val="20"/>
        </w:rPr>
        <w:t>This SOP applies to all authorized personnel involved in coal testing at SMJ Lab. It covers the calculation of fixed carbon content as part of routine coal analysis, quality control, and reporting activities.</w:t>
      </w:r>
    </w:p>
    <w:p w14:paraId="7CBA6012" w14:textId="6CB2A906"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Definitions And Abbreviations:</w:t>
      </w:r>
    </w:p>
    <w:p w14:paraId="1504851B" w14:textId="71E1CFEA" w:rsidR="00A31D51" w:rsidRPr="00612496" w:rsidRDefault="000F57ED" w:rsidP="000F57ED">
      <w:pPr>
        <w:spacing w:line="276" w:lineRule="auto"/>
        <w:ind w:left="357"/>
        <w:jc w:val="both"/>
        <w:rPr>
          <w:rFonts w:ascii="Aptos Narrow" w:hAnsi="Aptos Narrow"/>
          <w:sz w:val="20"/>
          <w:szCs w:val="20"/>
        </w:rPr>
      </w:pPr>
      <w:r w:rsidRPr="000F57ED">
        <w:rPr>
          <w:rFonts w:ascii="Aptos Narrow" w:hAnsi="Aptos Narrow"/>
          <w:b/>
          <w:bCs/>
          <w:sz w:val="20"/>
          <w:szCs w:val="20"/>
        </w:rPr>
        <w:t>Fixed Carbon:</w:t>
      </w:r>
      <w:r w:rsidRPr="000F57ED">
        <w:rPr>
          <w:rFonts w:ascii="Aptos Narrow" w:hAnsi="Aptos Narrow"/>
          <w:sz w:val="20"/>
          <w:szCs w:val="20"/>
        </w:rPr>
        <w:t xml:space="preserve"> The carbonaceous residue left after volatile matter has been driven off by heating coal under controlled conditions.</w:t>
      </w:r>
    </w:p>
    <w:p w14:paraId="4287EE4C" w14:textId="0F639722" w:rsidR="00A31D51" w:rsidRPr="00612496" w:rsidRDefault="00612496"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Safety Precautions:</w:t>
      </w:r>
    </w:p>
    <w:p w14:paraId="73CDC0DC" w14:textId="7E8B42E9" w:rsidR="00A31D51" w:rsidRPr="007327DF" w:rsidRDefault="00A31D51" w:rsidP="007327DF">
      <w:pPr>
        <w:pStyle w:val="ListParagraph"/>
        <w:numPr>
          <w:ilvl w:val="0"/>
          <w:numId w:val="4"/>
        </w:numPr>
        <w:spacing w:line="276" w:lineRule="auto"/>
        <w:jc w:val="both"/>
        <w:rPr>
          <w:rFonts w:ascii="Aptos Narrow" w:hAnsi="Aptos Narrow"/>
          <w:sz w:val="20"/>
          <w:szCs w:val="20"/>
        </w:rPr>
      </w:pPr>
      <w:r w:rsidRPr="007327DF">
        <w:rPr>
          <w:rFonts w:ascii="Aptos Narrow" w:hAnsi="Aptos Narrow"/>
          <w:sz w:val="20"/>
          <w:szCs w:val="20"/>
        </w:rPr>
        <w:t>Use appropriate personal protective equipment (PPE), such as heat-resistant gloves, when handling hot crucibles.</w:t>
      </w:r>
    </w:p>
    <w:p w14:paraId="376CB44E" w14:textId="08B7F5DB" w:rsidR="00A31D51" w:rsidRPr="00612496" w:rsidRDefault="00A31D51" w:rsidP="007327DF">
      <w:pPr>
        <w:pStyle w:val="ListParagraph"/>
        <w:numPr>
          <w:ilvl w:val="0"/>
          <w:numId w:val="4"/>
        </w:numPr>
        <w:spacing w:line="276" w:lineRule="auto"/>
        <w:jc w:val="both"/>
        <w:rPr>
          <w:rFonts w:ascii="Aptos Narrow" w:hAnsi="Aptos Narrow"/>
          <w:sz w:val="20"/>
          <w:szCs w:val="20"/>
        </w:rPr>
      </w:pPr>
      <w:r w:rsidRPr="00612496">
        <w:rPr>
          <w:rFonts w:ascii="Aptos Narrow" w:hAnsi="Aptos Narrow"/>
          <w:sz w:val="20"/>
          <w:szCs w:val="20"/>
        </w:rPr>
        <w:t>Ensure proper ventilation when operating the muffle furnace to prevent exposure to fumes.</w:t>
      </w:r>
    </w:p>
    <w:p w14:paraId="604DDBE4" w14:textId="2D27B5A7" w:rsidR="00A31D51" w:rsidRPr="00612496" w:rsidRDefault="00A31D51" w:rsidP="007327DF">
      <w:pPr>
        <w:pStyle w:val="ListParagraph"/>
        <w:numPr>
          <w:ilvl w:val="0"/>
          <w:numId w:val="4"/>
        </w:numPr>
        <w:spacing w:line="276" w:lineRule="auto"/>
        <w:ind w:left="714" w:hanging="357"/>
        <w:contextualSpacing w:val="0"/>
        <w:jc w:val="both"/>
        <w:rPr>
          <w:rFonts w:ascii="Aptos Narrow" w:hAnsi="Aptos Narrow"/>
          <w:sz w:val="20"/>
          <w:szCs w:val="20"/>
        </w:rPr>
      </w:pPr>
      <w:r w:rsidRPr="00612496">
        <w:rPr>
          <w:rFonts w:ascii="Aptos Narrow" w:hAnsi="Aptos Narrow"/>
          <w:sz w:val="20"/>
          <w:szCs w:val="20"/>
        </w:rPr>
        <w:t>Follow all laboratory safety protocols and guidelines.</w:t>
      </w:r>
    </w:p>
    <w:p w14:paraId="7551D9E2" w14:textId="78BAEDD2"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Apparatus:</w:t>
      </w:r>
    </w:p>
    <w:p w14:paraId="0E88BB7F" w14:textId="2A09A7E6" w:rsidR="00A31D51" w:rsidRPr="00612496" w:rsidRDefault="000F57ED" w:rsidP="000F57ED">
      <w:pPr>
        <w:spacing w:line="276" w:lineRule="auto"/>
        <w:ind w:firstLine="357"/>
        <w:jc w:val="both"/>
        <w:rPr>
          <w:rFonts w:ascii="Aptos Narrow" w:hAnsi="Aptos Narrow"/>
          <w:sz w:val="20"/>
          <w:szCs w:val="20"/>
        </w:rPr>
      </w:pPr>
      <w:r w:rsidRPr="000F57ED">
        <w:rPr>
          <w:rFonts w:ascii="Aptos Narrow" w:hAnsi="Aptos Narrow"/>
          <w:sz w:val="20"/>
          <w:szCs w:val="20"/>
        </w:rPr>
        <w:t>None required for this calculation-based method</w:t>
      </w:r>
      <w:r>
        <w:rPr>
          <w:rFonts w:ascii="Aptos Narrow" w:hAnsi="Aptos Narrow"/>
          <w:sz w:val="20"/>
          <w:szCs w:val="20"/>
        </w:rPr>
        <w:t>.</w:t>
      </w:r>
    </w:p>
    <w:p w14:paraId="2E8DB4F4" w14:textId="5E3C7955"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Reagents:</w:t>
      </w:r>
    </w:p>
    <w:p w14:paraId="0D63C8DD" w14:textId="4F7AF5E0" w:rsidR="00A31D51" w:rsidRPr="00612496" w:rsidRDefault="000F57ED" w:rsidP="007327DF">
      <w:pPr>
        <w:spacing w:line="276" w:lineRule="auto"/>
        <w:ind w:firstLine="357"/>
        <w:jc w:val="both"/>
        <w:rPr>
          <w:rFonts w:ascii="Aptos Narrow" w:hAnsi="Aptos Narrow"/>
          <w:sz w:val="20"/>
          <w:szCs w:val="20"/>
        </w:rPr>
      </w:pPr>
      <w:r w:rsidRPr="000F57ED">
        <w:rPr>
          <w:rFonts w:ascii="Aptos Narrow" w:hAnsi="Aptos Narrow"/>
          <w:sz w:val="20"/>
          <w:szCs w:val="20"/>
        </w:rPr>
        <w:t>None required for this calculation-based method</w:t>
      </w:r>
      <w:r>
        <w:rPr>
          <w:rFonts w:ascii="Aptos Narrow" w:hAnsi="Aptos Narrow"/>
          <w:sz w:val="20"/>
          <w:szCs w:val="20"/>
        </w:rPr>
        <w:t>.</w:t>
      </w:r>
    </w:p>
    <w:p w14:paraId="481D800E" w14:textId="10ED3F3C"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Sample Handling and Preparation:</w:t>
      </w:r>
    </w:p>
    <w:p w14:paraId="2EC674A6" w14:textId="712B31DC" w:rsidR="00A31D51" w:rsidRPr="007327DF" w:rsidRDefault="000F57ED" w:rsidP="007327DF">
      <w:pPr>
        <w:spacing w:line="276" w:lineRule="auto"/>
        <w:ind w:left="357"/>
        <w:jc w:val="both"/>
        <w:rPr>
          <w:rFonts w:ascii="Aptos Narrow" w:hAnsi="Aptos Narrow"/>
          <w:sz w:val="20"/>
          <w:szCs w:val="20"/>
        </w:rPr>
      </w:pPr>
      <w:r w:rsidRPr="000F57ED">
        <w:rPr>
          <w:rFonts w:ascii="Aptos Narrow" w:hAnsi="Aptos Narrow"/>
          <w:sz w:val="20"/>
          <w:szCs w:val="20"/>
        </w:rPr>
        <w:t>None required for this calculation-based method.</w:t>
      </w:r>
    </w:p>
    <w:p w14:paraId="0E75DCCC" w14:textId="0DF3F5DD" w:rsidR="00A31D51" w:rsidRPr="00612496" w:rsidRDefault="00A31D51" w:rsidP="007327DF">
      <w:pPr>
        <w:pStyle w:val="ListParagraph"/>
        <w:numPr>
          <w:ilvl w:val="0"/>
          <w:numId w:val="1"/>
        </w:numPr>
        <w:spacing w:before="160" w:after="0" w:line="276" w:lineRule="auto"/>
        <w:ind w:left="357" w:hanging="357"/>
        <w:jc w:val="both"/>
        <w:rPr>
          <w:rFonts w:ascii="Aptos Narrow" w:hAnsi="Aptos Narrow"/>
          <w:b/>
          <w:bCs/>
          <w:sz w:val="20"/>
          <w:szCs w:val="20"/>
        </w:rPr>
      </w:pPr>
      <w:r w:rsidRPr="00612496">
        <w:rPr>
          <w:rFonts w:ascii="Aptos Narrow" w:hAnsi="Aptos Narrow"/>
          <w:b/>
          <w:bCs/>
          <w:sz w:val="20"/>
          <w:szCs w:val="20"/>
        </w:rPr>
        <w:t>Procedure:</w:t>
      </w:r>
    </w:p>
    <w:p w14:paraId="363873BC" w14:textId="5BAA62B1" w:rsidR="000F57ED" w:rsidRPr="00414AE6" w:rsidRDefault="000F57ED" w:rsidP="00414AE6">
      <w:pPr>
        <w:pStyle w:val="ListParagraph"/>
        <w:numPr>
          <w:ilvl w:val="1"/>
          <w:numId w:val="1"/>
        </w:numPr>
        <w:spacing w:after="0" w:line="276" w:lineRule="auto"/>
        <w:jc w:val="both"/>
        <w:rPr>
          <w:rFonts w:ascii="Aptos Narrow" w:hAnsi="Aptos Narrow"/>
          <w:b/>
          <w:bCs/>
          <w:sz w:val="20"/>
          <w:szCs w:val="20"/>
        </w:rPr>
      </w:pPr>
      <w:r w:rsidRPr="00414AE6">
        <w:rPr>
          <w:rFonts w:ascii="Aptos Narrow" w:hAnsi="Aptos Narrow"/>
          <w:b/>
          <w:bCs/>
          <w:sz w:val="20"/>
          <w:szCs w:val="20"/>
        </w:rPr>
        <w:t>Moisture Content:</w:t>
      </w:r>
    </w:p>
    <w:p w14:paraId="2EBCC4E6" w14:textId="77777777" w:rsidR="000F57ED" w:rsidRPr="000F57ED" w:rsidRDefault="000F57ED" w:rsidP="00414AE6">
      <w:pPr>
        <w:spacing w:line="276" w:lineRule="auto"/>
        <w:ind w:left="792"/>
        <w:jc w:val="both"/>
        <w:rPr>
          <w:rFonts w:ascii="Aptos Narrow" w:hAnsi="Aptos Narrow"/>
          <w:sz w:val="20"/>
          <w:szCs w:val="20"/>
        </w:rPr>
      </w:pPr>
      <w:r w:rsidRPr="000F57ED">
        <w:rPr>
          <w:rFonts w:ascii="Aptos Narrow" w:hAnsi="Aptos Narrow"/>
          <w:sz w:val="20"/>
          <w:szCs w:val="20"/>
        </w:rPr>
        <w:t>Determine the moisture content according to procedure SMJ/SOP/LAB/01.</w:t>
      </w:r>
    </w:p>
    <w:p w14:paraId="1ADA6E9E" w14:textId="72489168" w:rsidR="000F57ED" w:rsidRPr="00414AE6" w:rsidRDefault="000F57ED" w:rsidP="00414AE6">
      <w:pPr>
        <w:pStyle w:val="ListParagraph"/>
        <w:numPr>
          <w:ilvl w:val="1"/>
          <w:numId w:val="1"/>
        </w:numPr>
        <w:spacing w:after="0" w:line="276" w:lineRule="auto"/>
        <w:jc w:val="both"/>
        <w:rPr>
          <w:rFonts w:ascii="Aptos Narrow" w:hAnsi="Aptos Narrow"/>
          <w:b/>
          <w:bCs/>
          <w:sz w:val="20"/>
          <w:szCs w:val="20"/>
        </w:rPr>
      </w:pPr>
      <w:r w:rsidRPr="00414AE6">
        <w:rPr>
          <w:rFonts w:ascii="Aptos Narrow" w:hAnsi="Aptos Narrow"/>
          <w:b/>
          <w:bCs/>
          <w:sz w:val="20"/>
          <w:szCs w:val="20"/>
        </w:rPr>
        <w:t>Volatile Matter:</w:t>
      </w:r>
    </w:p>
    <w:p w14:paraId="48D26CAE" w14:textId="77777777" w:rsidR="000F57ED" w:rsidRPr="000F57ED" w:rsidRDefault="000F57ED" w:rsidP="00414AE6">
      <w:pPr>
        <w:spacing w:line="276" w:lineRule="auto"/>
        <w:ind w:left="792"/>
        <w:jc w:val="both"/>
        <w:rPr>
          <w:rFonts w:ascii="Aptos Narrow" w:hAnsi="Aptos Narrow"/>
          <w:sz w:val="20"/>
          <w:szCs w:val="20"/>
        </w:rPr>
      </w:pPr>
      <w:r w:rsidRPr="000F57ED">
        <w:rPr>
          <w:rFonts w:ascii="Aptos Narrow" w:hAnsi="Aptos Narrow"/>
          <w:sz w:val="20"/>
          <w:szCs w:val="20"/>
        </w:rPr>
        <w:t>Determine the volatile matter according to procedure SMJ/SOP/LAB/02.</w:t>
      </w:r>
    </w:p>
    <w:p w14:paraId="4BA01B6A" w14:textId="54E21DC6" w:rsidR="000F57ED" w:rsidRPr="00414AE6" w:rsidRDefault="000F57ED" w:rsidP="00414AE6">
      <w:pPr>
        <w:pStyle w:val="ListParagraph"/>
        <w:numPr>
          <w:ilvl w:val="1"/>
          <w:numId w:val="1"/>
        </w:numPr>
        <w:spacing w:after="0" w:line="276" w:lineRule="auto"/>
        <w:jc w:val="both"/>
        <w:rPr>
          <w:rFonts w:ascii="Aptos Narrow" w:hAnsi="Aptos Narrow"/>
          <w:b/>
          <w:bCs/>
          <w:sz w:val="20"/>
          <w:szCs w:val="20"/>
        </w:rPr>
      </w:pPr>
      <w:r w:rsidRPr="00414AE6">
        <w:rPr>
          <w:rFonts w:ascii="Aptos Narrow" w:hAnsi="Aptos Narrow"/>
          <w:b/>
          <w:bCs/>
          <w:sz w:val="20"/>
          <w:szCs w:val="20"/>
        </w:rPr>
        <w:t>Ash Content:</w:t>
      </w:r>
    </w:p>
    <w:p w14:paraId="584880EE" w14:textId="77777777" w:rsidR="000F57ED" w:rsidRPr="000F57ED" w:rsidRDefault="000F57ED" w:rsidP="00414AE6">
      <w:pPr>
        <w:spacing w:line="276" w:lineRule="auto"/>
        <w:ind w:left="792"/>
        <w:jc w:val="both"/>
        <w:rPr>
          <w:rFonts w:ascii="Aptos Narrow" w:hAnsi="Aptos Narrow"/>
          <w:sz w:val="20"/>
          <w:szCs w:val="20"/>
        </w:rPr>
      </w:pPr>
      <w:r w:rsidRPr="000F57ED">
        <w:rPr>
          <w:rFonts w:ascii="Aptos Narrow" w:hAnsi="Aptos Narrow"/>
          <w:sz w:val="20"/>
          <w:szCs w:val="20"/>
        </w:rPr>
        <w:t>Determine the ash content according to procedure SMJ/SOP/LAB/03.</w:t>
      </w:r>
    </w:p>
    <w:p w14:paraId="708718FA" w14:textId="0D401779" w:rsidR="000F57ED" w:rsidRPr="00414AE6" w:rsidRDefault="000F57ED" w:rsidP="00414AE6">
      <w:pPr>
        <w:pStyle w:val="ListParagraph"/>
        <w:numPr>
          <w:ilvl w:val="1"/>
          <w:numId w:val="1"/>
        </w:numPr>
        <w:spacing w:after="0" w:line="276" w:lineRule="auto"/>
        <w:jc w:val="both"/>
        <w:rPr>
          <w:rFonts w:ascii="Aptos Narrow" w:hAnsi="Aptos Narrow"/>
          <w:b/>
          <w:bCs/>
          <w:sz w:val="20"/>
          <w:szCs w:val="20"/>
        </w:rPr>
      </w:pPr>
      <w:r w:rsidRPr="00414AE6">
        <w:rPr>
          <w:rFonts w:ascii="Aptos Narrow" w:hAnsi="Aptos Narrow"/>
          <w:b/>
          <w:bCs/>
          <w:sz w:val="20"/>
          <w:szCs w:val="20"/>
        </w:rPr>
        <w:t>Fixed Carbon Calculation:</w:t>
      </w:r>
    </w:p>
    <w:p w14:paraId="3770FB6A" w14:textId="09D62BF4" w:rsidR="003523E9" w:rsidRDefault="000F57ED" w:rsidP="00414AE6">
      <w:pPr>
        <w:spacing w:line="276" w:lineRule="auto"/>
        <w:ind w:left="792"/>
        <w:jc w:val="both"/>
        <w:rPr>
          <w:rFonts w:ascii="Aptos Narrow" w:hAnsi="Aptos Narrow"/>
          <w:sz w:val="20"/>
          <w:szCs w:val="20"/>
        </w:rPr>
      </w:pPr>
      <w:r w:rsidRPr="000F57ED">
        <w:rPr>
          <w:rFonts w:ascii="Aptos Narrow" w:hAnsi="Aptos Narrow"/>
          <w:sz w:val="20"/>
          <w:szCs w:val="20"/>
        </w:rPr>
        <w:t>Subtract the sum of moisture content, volatile matter, and ash content from 100% to obtain the fixed carbon percentage. Calculate the average fixed carbon content based on replicate measurements if required.</w:t>
      </w:r>
    </w:p>
    <w:p w14:paraId="50A661BE" w14:textId="77777777" w:rsidR="006D4E12" w:rsidRPr="006D4E12" w:rsidRDefault="006D4E12" w:rsidP="00414AE6">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Calculation:</w:t>
      </w:r>
    </w:p>
    <w:p w14:paraId="1A00A3B9" w14:textId="72A2E178" w:rsidR="006D4E12" w:rsidRDefault="00414AE6" w:rsidP="00414AE6">
      <w:pPr>
        <w:spacing w:after="0" w:line="276" w:lineRule="auto"/>
        <w:ind w:firstLine="357"/>
        <w:jc w:val="both"/>
        <w:rPr>
          <w:rFonts w:ascii="Aptos Narrow" w:hAnsi="Aptos Narrow"/>
          <w:sz w:val="20"/>
          <w:szCs w:val="20"/>
        </w:rPr>
      </w:pPr>
      <w:r w:rsidRPr="00414AE6">
        <w:rPr>
          <w:rFonts w:ascii="Aptos Narrow" w:hAnsi="Aptos Narrow"/>
          <w:sz w:val="20"/>
          <w:szCs w:val="20"/>
        </w:rPr>
        <w:t>The volatile matter % can be calculated by the below formula:</w:t>
      </w:r>
    </w:p>
    <w:p w14:paraId="2D1ED958" w14:textId="076F206A" w:rsidR="00414AE6" w:rsidRPr="006D4E12" w:rsidRDefault="00414AE6" w:rsidP="00414AE6">
      <w:pPr>
        <w:spacing w:line="276" w:lineRule="auto"/>
        <w:ind w:firstLine="357"/>
        <w:jc w:val="both"/>
        <w:rPr>
          <w:rFonts w:ascii="Aptos Narrow" w:hAnsi="Aptos Narrow"/>
          <w:sz w:val="20"/>
          <w:szCs w:val="20"/>
        </w:rPr>
      </w:pPr>
      <w:r w:rsidRPr="00EA1A42">
        <w:rPr>
          <w:noProof/>
        </w:rPr>
        <mc:AlternateContent>
          <mc:Choice Requires="wps">
            <w:drawing>
              <wp:inline distT="0" distB="0" distL="0" distR="0" wp14:anchorId="4D3B286C" wp14:editId="718A8DA0">
                <wp:extent cx="4680000" cy="360000"/>
                <wp:effectExtent l="0" t="0" r="25400" b="21590"/>
                <wp:docPr id="2" name="Rectangle 2"/>
                <wp:cNvGraphicFramePr/>
                <a:graphic xmlns:a="http://schemas.openxmlformats.org/drawingml/2006/main">
                  <a:graphicData uri="http://schemas.microsoft.com/office/word/2010/wordprocessingShape">
                    <wps:wsp>
                      <wps:cNvSpPr/>
                      <wps:spPr>
                        <a:xfrm>
                          <a:off x="0" y="0"/>
                          <a:ext cx="4680000" cy="360000"/>
                        </a:xfrm>
                        <a:prstGeom prst="rect">
                          <a:avLst/>
                        </a:prstGeom>
                        <a:no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7FD084" w14:textId="77777777" w:rsidR="00414AE6" w:rsidRPr="006228AF" w:rsidRDefault="00414AE6" w:rsidP="00414AE6">
                            <w:pPr>
                              <w:spacing w:after="0"/>
                              <w:jc w:val="center"/>
                              <w:rPr>
                                <w:bCs/>
                                <w:color w:val="000000" w:themeColor="text1"/>
                              </w:rPr>
                            </w:pPr>
                            <m:oMathPara>
                              <m:oMathParaPr>
                                <m:jc m:val="center"/>
                              </m:oMathParaPr>
                              <m:oMath>
                                <m:r>
                                  <m:rPr>
                                    <m:sty m:val="bi"/>
                                  </m:rPr>
                                  <w:rPr>
                                    <w:rFonts w:ascii="Cambria Math" w:hAnsi="Cambria Math"/>
                                    <w:color w:val="000000" w:themeColor="text1"/>
                                    <w:sz w:val="20"/>
                                    <w:szCs w:val="20"/>
                                  </w:rPr>
                                  <m:t xml:space="preserve">Fixed Carbon </m:t>
                                </m:r>
                                <m:r>
                                  <m:rPr>
                                    <m:sty m:val="b"/>
                                  </m:rPr>
                                  <w:rPr>
                                    <w:rFonts w:ascii="Cambria Math" w:hAnsi="Cambria Math"/>
                                    <w:color w:val="000000" w:themeColor="text1"/>
                                    <w:sz w:val="20"/>
                                    <w:szCs w:val="20"/>
                                  </w:rPr>
                                  <m:t xml:space="preserve"> % = </m:t>
                                </m:r>
                                <m:r>
                                  <m:rPr>
                                    <m:sty m:val="p"/>
                                  </m:rPr>
                                  <w:rPr>
                                    <w:rFonts w:ascii="Cambria Math" w:hAnsi="Cambria Math"/>
                                    <w:color w:val="000000" w:themeColor="text1"/>
                                    <w:sz w:val="20"/>
                                    <w:szCs w:val="20"/>
                                  </w:rPr>
                                  <m:t xml:space="preserve">100- </m:t>
                                </m:r>
                                <m:d>
                                  <m:dPr>
                                    <m:ctrlPr>
                                      <w:rPr>
                                        <w:rFonts w:ascii="Cambria Math" w:hAnsi="Cambria Math"/>
                                        <w:bCs/>
                                        <w:color w:val="000000" w:themeColor="text1"/>
                                        <w:sz w:val="20"/>
                                        <w:szCs w:val="20"/>
                                      </w:rPr>
                                    </m:ctrlPr>
                                  </m:dPr>
                                  <m:e>
                                    <m:r>
                                      <m:rPr>
                                        <m:sty m:val="p"/>
                                      </m:rPr>
                                      <w:rPr>
                                        <w:rFonts w:ascii="Cambria Math" w:hAnsi="Cambria Math"/>
                                        <w:color w:val="000000" w:themeColor="text1"/>
                                        <w:sz w:val="20"/>
                                        <w:szCs w:val="20"/>
                                      </w:rPr>
                                      <m:t>moisture content+volatile matter+ash content</m:t>
                                    </m:r>
                                  </m:e>
                                </m:d>
                              </m:oMath>
                            </m:oMathPara>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rect w14:anchorId="4D3B286C" id="Rectangle 2" o:spid="_x0000_s1026" style="width:368.5pt;height:28.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" filled="f" strokecolor="black [3213]" strokeweight=".25pt">
                <v:textbox inset="0,0,0,0">
                  <w:txbxContent>
                    <w:p w14:paraId="097FD084" w14:textId="77777777" w:rsidR="00414AE6" w:rsidRPr="006228AF" w:rsidRDefault="00414AE6" w:rsidP="00414AE6">
                      <w:pPr>
                        <w:spacing w:after="0"/>
                        <w:jc w:val="center"/>
                        <w:rPr>
                          <w:bCs/>
                          <w:color w:val="000000" w:themeColor="text1"/>
                        </w:rPr>
                      </w:pPr>
                      <m:oMathPara>
                        <m:oMathParaPr>
                          <m:jc m:val="center"/>
                        </m:oMathParaPr>
                        <m:oMath>
                          <m:r>
                            <m:rPr>
                              <m:sty m:val="bi"/>
                            </m:rPr>
                            <w:rPr>
                              <w:rFonts w:ascii="Cambria Math" w:hAnsi="Cambria Math"/>
                              <w:color w:val="000000" w:themeColor="text1"/>
                              <w:sz w:val="20"/>
                              <w:szCs w:val="20"/>
                            </w:rPr>
                            <m:t xml:space="preserve">Fixed Carbon </m:t>
                          </m:r>
                          <m:r>
                            <m:rPr>
                              <m:sty m:val="b"/>
                            </m:rPr>
                            <w:rPr>
                              <w:rFonts w:ascii="Cambria Math" w:hAnsi="Cambria Math"/>
                              <w:color w:val="000000" w:themeColor="text1"/>
                              <w:sz w:val="20"/>
                              <w:szCs w:val="20"/>
                            </w:rPr>
                            <m:t xml:space="preserve"> % = </m:t>
                          </m:r>
                          <m:r>
                            <m:rPr>
                              <m:sty m:val="p"/>
                            </m:rPr>
                            <w:rPr>
                              <w:rFonts w:ascii="Cambria Math" w:hAnsi="Cambria Math"/>
                              <w:color w:val="000000" w:themeColor="text1"/>
                              <w:sz w:val="20"/>
                              <w:szCs w:val="20"/>
                            </w:rPr>
                            <m:t xml:space="preserve">100- </m:t>
                          </m:r>
                          <m:d>
                            <m:dPr>
                              <m:ctrlPr>
                                <w:rPr>
                                  <w:rFonts w:ascii="Cambria Math" w:hAnsi="Cambria Math"/>
                                  <w:bCs/>
                                  <w:color w:val="000000" w:themeColor="text1"/>
                                  <w:sz w:val="20"/>
                                  <w:szCs w:val="20"/>
                                </w:rPr>
                              </m:ctrlPr>
                            </m:dPr>
                            <m:e>
                              <m:r>
                                <m:rPr>
                                  <m:sty m:val="p"/>
                                </m:rPr>
                                <w:rPr>
                                  <w:rFonts w:ascii="Cambria Math" w:hAnsi="Cambria Math"/>
                                  <w:color w:val="000000" w:themeColor="text1"/>
                                  <w:sz w:val="20"/>
                                  <w:szCs w:val="20"/>
                                </w:rPr>
                                <m:t>moisture content+volatile matter+ash content</m:t>
                              </m:r>
                            </m:e>
                          </m:d>
                        </m:oMath>
                      </m:oMathPara>
                    </w:p>
                  </w:txbxContent>
                </v:textbox>
                <w10:anchorlock/>
              </v:rect>
            </w:pict>
          </mc:Fallback>
        </mc:AlternateContent>
      </w:r>
    </w:p>
    <w:p w14:paraId="4A2B5133" w14:textId="7985638F" w:rsidR="006D4E12" w:rsidRPr="006D4E12" w:rsidRDefault="006D4E12" w:rsidP="006D4E12">
      <w:pPr>
        <w:pStyle w:val="ListParagraph"/>
        <w:numPr>
          <w:ilvl w:val="0"/>
          <w:numId w:val="1"/>
        </w:numPr>
        <w:spacing w:before="160" w:after="0" w:line="276" w:lineRule="auto"/>
        <w:ind w:left="357" w:hanging="357"/>
        <w:jc w:val="both"/>
        <w:rPr>
          <w:rFonts w:ascii="Aptos Narrow" w:hAnsi="Aptos Narrow"/>
          <w:b/>
          <w:bCs/>
          <w:sz w:val="20"/>
          <w:szCs w:val="20"/>
        </w:rPr>
      </w:pPr>
      <w:r w:rsidRPr="006D4E12">
        <w:rPr>
          <w:rFonts w:ascii="Aptos Narrow" w:hAnsi="Aptos Narrow"/>
          <w:b/>
          <w:bCs/>
          <w:sz w:val="20"/>
          <w:szCs w:val="20"/>
        </w:rPr>
        <w:t>Reference:</w:t>
      </w:r>
    </w:p>
    <w:p w14:paraId="7AD6E059" w14:textId="6C0D4A03" w:rsidR="006D4E12" w:rsidRP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436 (Part 1): </w:t>
      </w:r>
      <w:r w:rsidR="00740AEE">
        <w:rPr>
          <w:rFonts w:ascii="Aptos Narrow" w:hAnsi="Aptos Narrow"/>
          <w:sz w:val="20"/>
          <w:szCs w:val="20"/>
        </w:rPr>
        <w:t>2024</w:t>
      </w:r>
      <w:r w:rsidRPr="006D4E12">
        <w:rPr>
          <w:rFonts w:ascii="Aptos Narrow" w:hAnsi="Aptos Narrow"/>
          <w:sz w:val="20"/>
          <w:szCs w:val="20"/>
        </w:rPr>
        <w:t xml:space="preserve">, </w:t>
      </w:r>
      <w:r w:rsidR="00740AEE" w:rsidRPr="00740AEE">
        <w:rPr>
          <w:rFonts w:ascii="Aptos Narrow" w:hAnsi="Aptos Narrow"/>
          <w:sz w:val="20"/>
          <w:szCs w:val="20"/>
        </w:rPr>
        <w:t>Methods for Sampling of Coal and Coke</w:t>
      </w:r>
      <w:r w:rsidR="00740AEE">
        <w:rPr>
          <w:rFonts w:ascii="Aptos Narrow" w:hAnsi="Aptos Narrow"/>
          <w:sz w:val="20"/>
          <w:szCs w:val="20"/>
        </w:rPr>
        <w:t>.</w:t>
      </w:r>
    </w:p>
    <w:p w14:paraId="1D382B76" w14:textId="45C40376" w:rsidR="006D4E12" w:rsidRDefault="006D4E12" w:rsidP="006D4E12">
      <w:pPr>
        <w:pStyle w:val="ListParagraph"/>
        <w:numPr>
          <w:ilvl w:val="0"/>
          <w:numId w:val="4"/>
        </w:numPr>
        <w:spacing w:after="0" w:line="276" w:lineRule="auto"/>
        <w:ind w:left="714" w:hanging="357"/>
        <w:contextualSpacing w:val="0"/>
        <w:jc w:val="both"/>
        <w:rPr>
          <w:rFonts w:ascii="Aptos Narrow" w:hAnsi="Aptos Narrow"/>
          <w:sz w:val="20"/>
          <w:szCs w:val="20"/>
        </w:rPr>
      </w:pPr>
      <w:r w:rsidRPr="006D4E12">
        <w:rPr>
          <w:rFonts w:ascii="Aptos Narrow" w:hAnsi="Aptos Narrow"/>
          <w:sz w:val="20"/>
          <w:szCs w:val="20"/>
        </w:rPr>
        <w:t xml:space="preserve">Indian Standard IS 1350 (Part 1): </w:t>
      </w:r>
      <w:r>
        <w:rPr>
          <w:rFonts w:ascii="Aptos Narrow" w:hAnsi="Aptos Narrow"/>
          <w:sz w:val="20"/>
          <w:szCs w:val="20"/>
        </w:rPr>
        <w:t>2025</w:t>
      </w:r>
      <w:r w:rsidRPr="006D4E12">
        <w:rPr>
          <w:rFonts w:ascii="Aptos Narrow" w:hAnsi="Aptos Narrow"/>
          <w:sz w:val="20"/>
          <w:szCs w:val="20"/>
        </w:rPr>
        <w:t>, Methods of Test for Coal and Coke - Proximate Analysis.</w:t>
      </w:r>
    </w:p>
    <w:p w14:paraId="4FE24393" w14:textId="77777777" w:rsidR="00414AE6" w:rsidRPr="00414AE6" w:rsidRDefault="00414AE6" w:rsidP="00414AE6">
      <w:pPr>
        <w:pStyle w:val="ListParagraph"/>
        <w:numPr>
          <w:ilvl w:val="0"/>
          <w:numId w:val="4"/>
        </w:numPr>
        <w:spacing w:after="0" w:line="276" w:lineRule="auto"/>
        <w:jc w:val="both"/>
        <w:rPr>
          <w:rFonts w:ascii="Aptos Narrow" w:hAnsi="Aptos Narrow"/>
          <w:sz w:val="20"/>
          <w:szCs w:val="20"/>
        </w:rPr>
      </w:pPr>
      <w:r w:rsidRPr="00414AE6">
        <w:rPr>
          <w:rFonts w:ascii="Aptos Narrow" w:hAnsi="Aptos Narrow"/>
          <w:sz w:val="20"/>
          <w:szCs w:val="20"/>
        </w:rPr>
        <w:t>SMJ/SOP/LAB/01, SMJ Lab SOP for “Determination of Moisture Content in Coal”</w:t>
      </w:r>
    </w:p>
    <w:p w14:paraId="36473FF6" w14:textId="77777777" w:rsidR="00414AE6" w:rsidRPr="00414AE6" w:rsidRDefault="00414AE6" w:rsidP="00414AE6">
      <w:pPr>
        <w:pStyle w:val="ListParagraph"/>
        <w:numPr>
          <w:ilvl w:val="0"/>
          <w:numId w:val="4"/>
        </w:numPr>
        <w:spacing w:after="0" w:line="276" w:lineRule="auto"/>
        <w:jc w:val="both"/>
        <w:rPr>
          <w:rFonts w:ascii="Aptos Narrow" w:hAnsi="Aptos Narrow"/>
          <w:sz w:val="20"/>
          <w:szCs w:val="20"/>
        </w:rPr>
      </w:pPr>
      <w:r w:rsidRPr="00414AE6">
        <w:rPr>
          <w:rFonts w:ascii="Aptos Narrow" w:hAnsi="Aptos Narrow"/>
          <w:sz w:val="20"/>
          <w:szCs w:val="20"/>
        </w:rPr>
        <w:t>SMJ/SOP/LAB/02, SMJ Lab SOP for “Determination of Volatile Matter in Coal”</w:t>
      </w:r>
    </w:p>
    <w:p w14:paraId="69458CC7" w14:textId="666D86DF" w:rsidR="00414AE6" w:rsidRPr="006D4E12" w:rsidRDefault="00414AE6" w:rsidP="00414AE6">
      <w:pPr>
        <w:pStyle w:val="ListParagraph"/>
        <w:numPr>
          <w:ilvl w:val="0"/>
          <w:numId w:val="4"/>
        </w:numPr>
        <w:spacing w:after="0" w:line="276" w:lineRule="auto"/>
        <w:contextualSpacing w:val="0"/>
        <w:jc w:val="both"/>
        <w:rPr>
          <w:rFonts w:ascii="Aptos Narrow" w:hAnsi="Aptos Narrow"/>
          <w:sz w:val="20"/>
          <w:szCs w:val="20"/>
        </w:rPr>
      </w:pPr>
      <w:r w:rsidRPr="00414AE6">
        <w:rPr>
          <w:rFonts w:ascii="Aptos Narrow" w:hAnsi="Aptos Narrow"/>
          <w:sz w:val="20"/>
          <w:szCs w:val="20"/>
        </w:rPr>
        <w:t>SMJ/SOP/LAB/03, SMJ Lab SOP for “Determination of Ash Content in Coal”</w:t>
      </w:r>
    </w:p>
    <w:sectPr w:rsidR="00414AE6" w:rsidRPr="006D4E12" w:rsidSect="00A31D51">
      <w:headerReference w:type="default" r:id="rId7"/>
      <w:footerReference w:type="default" r:id="rId8"/>
      <w:pgSz w:w="11907" w:h="16840" w:code="9"/>
      <w:pgMar w:top="1724" w:right="1270" w:bottom="1440" w:left="12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2A36E" w14:textId="77777777" w:rsidR="00262DB0" w:rsidRDefault="00262DB0" w:rsidP="006A51D3">
      <w:pPr>
        <w:spacing w:after="0" w:line="240" w:lineRule="auto"/>
      </w:pPr>
      <w:r>
        <w:separator/>
      </w:r>
    </w:p>
  </w:endnote>
  <w:endnote w:type="continuationSeparator" w:id="0">
    <w:p w14:paraId="56B56F66" w14:textId="77777777" w:rsidR="00262DB0" w:rsidRDefault="00262DB0" w:rsidP="006A51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4C18A" w14:textId="221C2B22" w:rsidR="00DA7878" w:rsidRDefault="00DA7878">
    <w:pPr>
      <w:pStyle w:val="Footer"/>
    </w:pPr>
    <w:r w:rsidRPr="006A51D3">
      <w:rPr>
        <w:noProof/>
        <w:color w:val="000000" w:themeColor="text1"/>
      </w:rPr>
      <mc:AlternateContent>
        <mc:Choice Requires="wps">
          <w:drawing>
            <wp:anchor distT="0" distB="0" distL="114300" distR="114300" simplePos="0" relativeHeight="251661312" behindDoc="0" locked="1" layoutInCell="1" allowOverlap="1" wp14:anchorId="2DAF8820" wp14:editId="25FEAB96">
              <wp:simplePos x="0" y="0"/>
              <wp:positionH relativeFrom="page">
                <wp:posOffset>485775</wp:posOffset>
              </wp:positionH>
              <wp:positionV relativeFrom="page">
                <wp:posOffset>9829165</wp:posOffset>
              </wp:positionV>
              <wp:extent cx="6588000" cy="504000"/>
              <wp:effectExtent l="0" t="0" r="3810" b="10795"/>
              <wp:wrapNone/>
              <wp:docPr id="4" name="Rectangle 4"/>
              <wp:cNvGraphicFramePr/>
              <a:graphic xmlns:a="http://schemas.openxmlformats.org/drawingml/2006/main">
                <a:graphicData uri="http://schemas.microsoft.com/office/word/2010/wordprocessingShape">
                  <wps:wsp>
                    <wps:cNvSpPr/>
                    <wps:spPr>
                      <a:xfrm>
                        <a:off x="0" y="0"/>
                        <a:ext cx="6588000" cy="50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AF8820" id="Rectangle 4" o:spid="_x0000_s1028" style="position:absolute;margin-left:38.25pt;margin-top:773.95pt;width:518.75pt;height:39.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" filled="f" stroked="f" strokeweight="1pt">
              <v:textbox inset="0,0,0,0">
                <w:txbxContent>
                  <w:tbl>
                    <w:tblPr>
                      <w:tblStyle w:val="TableGrid"/>
                      <w:tblW w:w="4993" w:type="pct"/>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2"/>
                      <w:gridCol w:w="3452"/>
                      <w:gridCol w:w="3450"/>
                    </w:tblGrid>
                    <w:tr w:rsidR="00DA7878" w:rsidRPr="00DA7878" w14:paraId="6B578D07" w14:textId="77777777" w:rsidTr="00DA7878">
                      <w:trPr>
                        <w:trHeight w:val="737"/>
                      </w:trPr>
                      <w:tc>
                        <w:tcPr>
                          <w:tcW w:w="1667" w:type="pct"/>
                        </w:tcPr>
                        <w:p w14:paraId="45C9C0D2"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Prepared by:</w:t>
                          </w:r>
                        </w:p>
                        <w:p w14:paraId="67139B66" w14:textId="51D911B8"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Technical Manager</w:t>
                          </w:r>
                        </w:p>
                      </w:tc>
                      <w:tc>
                        <w:tcPr>
                          <w:tcW w:w="1667" w:type="pct"/>
                        </w:tcPr>
                        <w:p w14:paraId="0BF833BE" w14:textId="1B7C4008"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Reviewed By</w:t>
                          </w:r>
                          <w:r>
                            <w:rPr>
                              <w:rFonts w:ascii="Aptos Narrow" w:hAnsi="Aptos Narrow"/>
                              <w:color w:val="000000" w:themeColor="text1"/>
                              <w:sz w:val="20"/>
                              <w:szCs w:val="20"/>
                            </w:rPr>
                            <w:t>:</w:t>
                          </w:r>
                        </w:p>
                        <w:p w14:paraId="763D96C1" w14:textId="6133C6DD"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Quality Manager</w:t>
                          </w:r>
                        </w:p>
                      </w:tc>
                      <w:tc>
                        <w:tcPr>
                          <w:tcW w:w="1666" w:type="pct"/>
                        </w:tcPr>
                        <w:p w14:paraId="465AA4B7" w14:textId="77777777" w:rsidR="00DA7878" w:rsidRPr="00DA7878" w:rsidRDefault="00DA7878" w:rsidP="00DA7878">
                          <w:pPr>
                            <w:rPr>
                              <w:rFonts w:ascii="Aptos Narrow" w:hAnsi="Aptos Narrow"/>
                              <w:color w:val="000000" w:themeColor="text1"/>
                              <w:sz w:val="20"/>
                              <w:szCs w:val="20"/>
                            </w:rPr>
                          </w:pPr>
                          <w:r w:rsidRPr="00DA7878">
                            <w:rPr>
                              <w:rFonts w:ascii="Aptos Narrow" w:hAnsi="Aptos Narrow"/>
                              <w:color w:val="000000" w:themeColor="text1"/>
                              <w:sz w:val="20"/>
                              <w:szCs w:val="20"/>
                            </w:rPr>
                            <w:t>Approved by:</w:t>
                          </w:r>
                        </w:p>
                        <w:p w14:paraId="33CD703C" w14:textId="5E46050E" w:rsidR="00DA7878" w:rsidRPr="00DA7878" w:rsidRDefault="00DA7878" w:rsidP="00DA7878">
                          <w:pPr>
                            <w:rPr>
                              <w:rFonts w:ascii="Aptos Narrow" w:hAnsi="Aptos Narrow"/>
                              <w:color w:val="000000" w:themeColor="text1"/>
                              <w:sz w:val="20"/>
                              <w:szCs w:val="20"/>
                            </w:rPr>
                          </w:pPr>
                          <w:r w:rsidRPr="00DA7878">
                            <w:rPr>
                              <w:rFonts w:ascii="Aptos Narrow" w:hAnsi="Aptos Narrow"/>
                              <w:b/>
                              <w:bCs/>
                              <w:color w:val="000000" w:themeColor="text1"/>
                              <w:sz w:val="20"/>
                              <w:szCs w:val="20"/>
                            </w:rPr>
                            <w:t>Laboratory Head</w:t>
                          </w:r>
                        </w:p>
                      </w:tc>
                    </w:tr>
                  </w:tbl>
                  <w:p w14:paraId="18CA4094" w14:textId="77777777" w:rsidR="00DA7878" w:rsidRDefault="00DA7878" w:rsidP="00DA7878">
                    <w:pPr>
                      <w:jc w:val="center"/>
                    </w:pPr>
                  </w:p>
                </w:txbxContent>
              </v:textbox>
              <w10:wrap anchorx="page" anchory="page"/>
              <w10:anchorlock/>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E0939B" w14:textId="77777777" w:rsidR="00262DB0" w:rsidRDefault="00262DB0" w:rsidP="006A51D3">
      <w:pPr>
        <w:spacing w:after="0" w:line="240" w:lineRule="auto"/>
      </w:pPr>
      <w:r>
        <w:separator/>
      </w:r>
    </w:p>
  </w:footnote>
  <w:footnote w:type="continuationSeparator" w:id="0">
    <w:p w14:paraId="27A8F15F" w14:textId="77777777" w:rsidR="00262DB0" w:rsidRDefault="00262DB0" w:rsidP="006A51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6C05D" w14:textId="62EEDBDC" w:rsidR="006A51D3" w:rsidRDefault="006A51D3">
    <w:pPr>
      <w:pStyle w:val="Header"/>
    </w:pPr>
    <w:r w:rsidRPr="006A51D3">
      <w:rPr>
        <w:noProof/>
        <w:color w:val="000000" w:themeColor="text1"/>
      </w:rPr>
      <mc:AlternateContent>
        <mc:Choice Requires="wps">
          <w:drawing>
            <wp:anchor distT="0" distB="0" distL="114300" distR="114300" simplePos="0" relativeHeight="251659264" behindDoc="0" locked="1" layoutInCell="1" allowOverlap="1" wp14:anchorId="00758182" wp14:editId="7309C3B1">
              <wp:simplePos x="0" y="0"/>
              <wp:positionH relativeFrom="page">
                <wp:posOffset>485775</wp:posOffset>
              </wp:positionH>
              <wp:positionV relativeFrom="page">
                <wp:posOffset>424815</wp:posOffset>
              </wp:positionV>
              <wp:extent cx="6588000" cy="612000"/>
              <wp:effectExtent l="0" t="0" r="3810" b="0"/>
              <wp:wrapNone/>
              <wp:docPr id="1" name="Rectangle 1"/>
              <wp:cNvGraphicFramePr/>
              <a:graphic xmlns:a="http://schemas.openxmlformats.org/drawingml/2006/main">
                <a:graphicData uri="http://schemas.microsoft.com/office/word/2010/wordprocessingShape">
                  <wps:wsp>
                    <wps:cNvSpPr/>
                    <wps:spPr>
                      <a:xfrm>
                        <a:off x="0" y="0"/>
                        <a:ext cx="6588000" cy="612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054892FD"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0F57ED">
                                  <w:rPr>
                                    <w:rFonts w:asciiTheme="majorHAnsi" w:hAnsiTheme="majorHAnsi" w:cstheme="majorHAnsi"/>
                                    <w:b/>
                                    <w:bCs/>
                                    <w:color w:val="000000" w:themeColor="text1"/>
                                    <w:sz w:val="20"/>
                                    <w:szCs w:val="20"/>
                                  </w:rPr>
                                  <w:t>4</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730A122B" w:rsidR="00DA7878" w:rsidRPr="006A51D3" w:rsidRDefault="000F57ED" w:rsidP="00DA7878">
                                <w:pPr>
                                  <w:ind w:left="-57" w:right="-57"/>
                                  <w:rPr>
                                    <w:rFonts w:ascii="Aptos Narrow" w:hAnsi="Aptos Narrow"/>
                                    <w:color w:val="000000" w:themeColor="text1"/>
                                  </w:rPr>
                                </w:pPr>
                                <w:r w:rsidRPr="000F57ED">
                                  <w:rPr>
                                    <w:rFonts w:ascii="Aptos Narrow" w:hAnsi="Aptos Narrow"/>
                                    <w:b/>
                                    <w:bCs/>
                                    <w:color w:val="000000" w:themeColor="text1"/>
                                    <w:sz w:val="20"/>
                                    <w:szCs w:val="20"/>
                                  </w:rPr>
                                  <w:t>Determination of Fixed Carbon in Coal</w:t>
                                </w:r>
                              </w:p>
                            </w:tc>
                          </w:tr>
                        </w:tbl>
                        <w:p w14:paraId="7B1774E4" w14:textId="77777777" w:rsidR="006A51D3" w:rsidRDefault="006A51D3" w:rsidP="006A51D3">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58182" id="Rectangle 1" o:spid="_x0000_s1027" style="position:absolute;margin-left:38.25pt;margin-top:33.45pt;width:518.75pt;height:48.2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" filled="f" stroked="f" strokeweight="1pt">
              <v:textbox inset="0,0,0,0">
                <w:txbxContent>
                  <w:tbl>
                    <w:tblPr>
                      <w:tblStyle w:val="TableGrid"/>
                      <w:tblW w:w="4979" w:type="pct"/>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13"/>
                      <w:gridCol w:w="5640"/>
                      <w:gridCol w:w="2534"/>
                      <w:gridCol w:w="1138"/>
                    </w:tblGrid>
                    <w:tr w:rsidR="00DA7878" w:rsidRPr="006A51D3" w14:paraId="1CB1CC7E" w14:textId="77777777" w:rsidTr="00612496">
                      <w:trPr>
                        <w:trHeight w:val="293"/>
                      </w:trPr>
                      <w:tc>
                        <w:tcPr>
                          <w:tcW w:w="491" w:type="pct"/>
                          <w:vMerge w:val="restart"/>
                          <w:vAlign w:val="center"/>
                        </w:tcPr>
                        <w:p w14:paraId="32B86C87" w14:textId="7E6473C4" w:rsidR="006A51D3" w:rsidRPr="006A51D3" w:rsidRDefault="006A51D3" w:rsidP="00612496">
                          <w:pPr>
                            <w:spacing w:after="20"/>
                            <w:ind w:left="-57" w:right="-57"/>
                            <w:jc w:val="center"/>
                            <w:rPr>
                              <w:rFonts w:ascii="Aptos Narrow" w:hAnsi="Aptos Narrow"/>
                              <w:color w:val="000000" w:themeColor="text1"/>
                            </w:rPr>
                          </w:pPr>
                          <w:r w:rsidRPr="006A51D3">
                            <w:rPr>
                              <w:noProof/>
                              <w:color w:val="000000" w:themeColor="text1"/>
                            </w:rPr>
                            <w:drawing>
                              <wp:inline distT="0" distB="0" distL="0" distR="0" wp14:anchorId="6EBA19F7" wp14:editId="41C70E25">
                                <wp:extent cx="504000" cy="504000"/>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504000" cy="504000"/>
                                        </a:xfrm>
                                        <a:prstGeom prst="rect">
                                          <a:avLst/>
                                        </a:prstGeom>
                                      </pic:spPr>
                                    </pic:pic>
                                  </a:graphicData>
                                </a:graphic>
                              </wp:inline>
                            </w:drawing>
                          </w:r>
                        </w:p>
                      </w:tc>
                      <w:tc>
                        <w:tcPr>
                          <w:tcW w:w="2731" w:type="pct"/>
                        </w:tcPr>
                        <w:p w14:paraId="6828329C" w14:textId="2BB23A93" w:rsidR="006A51D3" w:rsidRPr="006A51D3" w:rsidRDefault="006A51D3" w:rsidP="006A51D3">
                          <w:pPr>
                            <w:ind w:left="-57" w:right="-57"/>
                            <w:rPr>
                              <w:rFonts w:asciiTheme="majorHAnsi" w:hAnsiTheme="majorHAnsi"/>
                              <w:b/>
                              <w:bCs/>
                              <w:color w:val="000000" w:themeColor="text1"/>
                            </w:rPr>
                          </w:pPr>
                          <w:r w:rsidRPr="006A51D3">
                            <w:rPr>
                              <w:rFonts w:asciiTheme="majorHAnsi" w:hAnsiTheme="majorHAnsi"/>
                              <w:b/>
                              <w:bCs/>
                              <w:color w:val="000000" w:themeColor="text1"/>
                            </w:rPr>
                            <w:t>SMJ Sustainable Fuel Lab Pvt. Ltd.</w:t>
                          </w:r>
                        </w:p>
                      </w:tc>
                      <w:tc>
                        <w:tcPr>
                          <w:tcW w:w="1227" w:type="pct"/>
                          <w:vAlign w:val="center"/>
                        </w:tcPr>
                        <w:p w14:paraId="73973686" w14:textId="054892FD"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Doc. No.: </w:t>
                          </w:r>
                          <w:r w:rsidRPr="006A51D3">
                            <w:rPr>
                              <w:rFonts w:asciiTheme="majorHAnsi" w:hAnsiTheme="majorHAnsi" w:cstheme="majorHAnsi"/>
                              <w:b/>
                              <w:bCs/>
                              <w:color w:val="000000" w:themeColor="text1"/>
                              <w:sz w:val="20"/>
                              <w:szCs w:val="20"/>
                            </w:rPr>
                            <w:t>SMJ/SOP/LAB/0</w:t>
                          </w:r>
                          <w:r w:rsidR="000F57ED">
                            <w:rPr>
                              <w:rFonts w:asciiTheme="majorHAnsi" w:hAnsiTheme="majorHAnsi" w:cstheme="majorHAnsi"/>
                              <w:b/>
                              <w:bCs/>
                              <w:color w:val="000000" w:themeColor="text1"/>
                              <w:sz w:val="20"/>
                              <w:szCs w:val="20"/>
                            </w:rPr>
                            <w:t>4</w:t>
                          </w:r>
                        </w:p>
                      </w:tc>
                      <w:tc>
                        <w:tcPr>
                          <w:tcW w:w="551" w:type="pct"/>
                          <w:vAlign w:val="center"/>
                        </w:tcPr>
                        <w:p w14:paraId="692A7405" w14:textId="7DF190A8"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Rev</w:t>
                          </w:r>
                          <w:r w:rsidR="00DA7878">
                            <w:rPr>
                              <w:rFonts w:asciiTheme="majorHAnsi" w:hAnsiTheme="majorHAnsi" w:cstheme="majorHAnsi"/>
                              <w:color w:val="000000" w:themeColor="text1"/>
                              <w:sz w:val="20"/>
                              <w:szCs w:val="20"/>
                            </w:rPr>
                            <w:t>.</w:t>
                          </w:r>
                          <w:r w:rsidRPr="006A51D3">
                            <w:rPr>
                              <w:rFonts w:asciiTheme="majorHAnsi" w:hAnsiTheme="majorHAnsi" w:cstheme="majorHAnsi"/>
                              <w:color w:val="000000" w:themeColor="text1"/>
                              <w:sz w:val="20"/>
                              <w:szCs w:val="20"/>
                            </w:rPr>
                            <w:t xml:space="preserve"> No.: </w:t>
                          </w:r>
                          <w:r w:rsidRPr="006A51D3">
                            <w:rPr>
                              <w:rFonts w:asciiTheme="majorHAnsi" w:hAnsiTheme="majorHAnsi" w:cstheme="majorHAnsi"/>
                              <w:b/>
                              <w:bCs/>
                              <w:color w:val="000000" w:themeColor="text1"/>
                              <w:sz w:val="20"/>
                              <w:szCs w:val="20"/>
                            </w:rPr>
                            <w:t>00</w:t>
                          </w:r>
                        </w:p>
                      </w:tc>
                    </w:tr>
                    <w:tr w:rsidR="00DA7878" w:rsidRPr="006A51D3" w14:paraId="7A282FC8" w14:textId="77777777" w:rsidTr="00DA7878">
                      <w:trPr>
                        <w:trHeight w:val="293"/>
                      </w:trPr>
                      <w:tc>
                        <w:tcPr>
                          <w:tcW w:w="491" w:type="pct"/>
                          <w:vMerge/>
                        </w:tcPr>
                        <w:p w14:paraId="6BFECE18" w14:textId="77777777" w:rsidR="006A51D3" w:rsidRPr="006A51D3" w:rsidRDefault="006A51D3" w:rsidP="006A51D3">
                          <w:pPr>
                            <w:ind w:left="-57" w:right="-57"/>
                            <w:jc w:val="center"/>
                            <w:rPr>
                              <w:rFonts w:ascii="Aptos Narrow" w:hAnsi="Aptos Narrow"/>
                              <w:color w:val="000000" w:themeColor="text1"/>
                            </w:rPr>
                          </w:pPr>
                        </w:p>
                      </w:tc>
                      <w:tc>
                        <w:tcPr>
                          <w:tcW w:w="2731" w:type="pct"/>
                          <w:vAlign w:val="center"/>
                        </w:tcPr>
                        <w:p w14:paraId="29356422" w14:textId="6A8A7B9E" w:rsidR="006A51D3" w:rsidRPr="006A51D3" w:rsidRDefault="006A51D3" w:rsidP="006A51D3">
                          <w:pPr>
                            <w:ind w:left="-57" w:right="-57"/>
                            <w:rPr>
                              <w:rFonts w:ascii="Aptos Narrow" w:hAnsi="Aptos Narrow"/>
                              <w:color w:val="000000" w:themeColor="text1"/>
                              <w:sz w:val="22"/>
                              <w:szCs w:val="22"/>
                            </w:rPr>
                          </w:pPr>
                          <w:r w:rsidRPr="006A51D3">
                            <w:rPr>
                              <w:rFonts w:ascii="Aptos Narrow" w:hAnsi="Aptos Narrow"/>
                              <w:color w:val="000000" w:themeColor="text1"/>
                              <w:sz w:val="22"/>
                              <w:szCs w:val="22"/>
                            </w:rPr>
                            <w:t>Standard Operating Procedure</w:t>
                          </w:r>
                        </w:p>
                      </w:tc>
                      <w:tc>
                        <w:tcPr>
                          <w:tcW w:w="1227" w:type="pct"/>
                          <w:vAlign w:val="center"/>
                        </w:tcPr>
                        <w:p w14:paraId="2E25E319" w14:textId="1EE3FB3E" w:rsidR="006A51D3" w:rsidRPr="006A51D3" w:rsidRDefault="006A51D3" w:rsidP="006A51D3">
                          <w:pPr>
                            <w:ind w:left="-57" w:right="-57"/>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Effective Date: </w:t>
                          </w:r>
                          <w:r w:rsidRPr="006A51D3">
                            <w:rPr>
                              <w:rFonts w:asciiTheme="majorHAnsi" w:hAnsiTheme="majorHAnsi" w:cstheme="majorHAnsi"/>
                              <w:b/>
                              <w:bCs/>
                              <w:color w:val="000000" w:themeColor="text1"/>
                              <w:sz w:val="20"/>
                              <w:szCs w:val="20"/>
                            </w:rPr>
                            <w:t>01/07/2024</w:t>
                          </w:r>
                        </w:p>
                      </w:tc>
                      <w:tc>
                        <w:tcPr>
                          <w:tcW w:w="551" w:type="pct"/>
                          <w:vAlign w:val="center"/>
                        </w:tcPr>
                        <w:p w14:paraId="004F381C" w14:textId="2B2A4B0C" w:rsidR="006A51D3" w:rsidRPr="006A51D3" w:rsidRDefault="006A51D3" w:rsidP="006A51D3">
                          <w:pPr>
                            <w:ind w:left="-57" w:right="-57"/>
                            <w:jc w:val="right"/>
                            <w:rPr>
                              <w:rFonts w:ascii="Aptos Narrow" w:hAnsi="Aptos Narrow"/>
                              <w:color w:val="000000" w:themeColor="text1"/>
                              <w:sz w:val="20"/>
                              <w:szCs w:val="20"/>
                            </w:rPr>
                          </w:pPr>
                          <w:r w:rsidRPr="006A51D3">
                            <w:rPr>
                              <w:rFonts w:asciiTheme="majorHAnsi" w:hAnsiTheme="majorHAnsi" w:cstheme="majorHAnsi"/>
                              <w:color w:val="000000" w:themeColor="text1"/>
                              <w:sz w:val="20"/>
                              <w:szCs w:val="20"/>
                            </w:rPr>
                            <w:t xml:space="preserve">Page: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PAGE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r w:rsidRPr="006A51D3">
                            <w:rPr>
                              <w:rFonts w:asciiTheme="majorHAnsi" w:hAnsiTheme="majorHAnsi" w:cstheme="majorHAnsi"/>
                              <w:b/>
                              <w:bCs/>
                              <w:color w:val="000000" w:themeColor="text1"/>
                              <w:sz w:val="20"/>
                              <w:szCs w:val="20"/>
                            </w:rPr>
                            <w:t xml:space="preserve"> </w:t>
                          </w:r>
                          <w:r w:rsidRPr="006A51D3">
                            <w:rPr>
                              <w:rFonts w:asciiTheme="majorHAnsi" w:hAnsiTheme="majorHAnsi" w:cstheme="majorHAnsi"/>
                              <w:color w:val="000000" w:themeColor="text1"/>
                              <w:sz w:val="20"/>
                              <w:szCs w:val="20"/>
                            </w:rPr>
                            <w:t xml:space="preserve">of </w:t>
                          </w:r>
                          <w:r w:rsidRPr="006A51D3">
                            <w:rPr>
                              <w:rFonts w:asciiTheme="majorHAnsi" w:hAnsiTheme="majorHAnsi" w:cstheme="majorHAnsi"/>
                              <w:b/>
                              <w:bCs/>
                              <w:color w:val="000000" w:themeColor="text1"/>
                              <w:sz w:val="20"/>
                              <w:szCs w:val="20"/>
                            </w:rPr>
                            <w:fldChar w:fldCharType="begin"/>
                          </w:r>
                          <w:r w:rsidRPr="006A51D3">
                            <w:rPr>
                              <w:rFonts w:asciiTheme="majorHAnsi" w:hAnsiTheme="majorHAnsi" w:cstheme="majorHAnsi"/>
                              <w:b/>
                              <w:bCs/>
                              <w:color w:val="000000" w:themeColor="text1"/>
                              <w:sz w:val="20"/>
                              <w:szCs w:val="20"/>
                            </w:rPr>
                            <w:instrText xml:space="preserve"> NUMPAGES  \* Arabic  \* MERGEFORMAT </w:instrText>
                          </w:r>
                          <w:r w:rsidRPr="006A51D3">
                            <w:rPr>
                              <w:rFonts w:asciiTheme="majorHAnsi" w:hAnsiTheme="majorHAnsi" w:cstheme="majorHAnsi"/>
                              <w:b/>
                              <w:bCs/>
                              <w:color w:val="000000" w:themeColor="text1"/>
                              <w:sz w:val="20"/>
                              <w:szCs w:val="20"/>
                            </w:rPr>
                            <w:fldChar w:fldCharType="separate"/>
                          </w:r>
                          <w:r w:rsidRPr="006A51D3">
                            <w:rPr>
                              <w:rFonts w:asciiTheme="majorHAnsi" w:hAnsiTheme="majorHAnsi" w:cstheme="majorHAnsi"/>
                              <w:b/>
                              <w:bCs/>
                              <w:noProof/>
                              <w:color w:val="000000" w:themeColor="text1"/>
                              <w:sz w:val="20"/>
                              <w:szCs w:val="20"/>
                            </w:rPr>
                            <w:t>1</w:t>
                          </w:r>
                          <w:r w:rsidRPr="006A51D3">
                            <w:rPr>
                              <w:rFonts w:asciiTheme="majorHAnsi" w:hAnsiTheme="majorHAnsi" w:cstheme="majorHAnsi"/>
                              <w:b/>
                              <w:bCs/>
                              <w:color w:val="000000" w:themeColor="text1"/>
                              <w:sz w:val="20"/>
                              <w:szCs w:val="20"/>
                            </w:rPr>
                            <w:fldChar w:fldCharType="end"/>
                          </w:r>
                        </w:p>
                      </w:tc>
                    </w:tr>
                    <w:tr w:rsidR="00DA7878" w:rsidRPr="006A51D3" w14:paraId="7C997EB9" w14:textId="77777777" w:rsidTr="00DA7878">
                      <w:trPr>
                        <w:trHeight w:val="293"/>
                      </w:trPr>
                      <w:tc>
                        <w:tcPr>
                          <w:tcW w:w="491" w:type="pct"/>
                          <w:vMerge/>
                        </w:tcPr>
                        <w:p w14:paraId="72BE12E7" w14:textId="77777777" w:rsidR="00DA7878" w:rsidRPr="006A51D3" w:rsidRDefault="00DA7878" w:rsidP="006A51D3">
                          <w:pPr>
                            <w:ind w:left="-57" w:right="-57"/>
                            <w:jc w:val="center"/>
                            <w:rPr>
                              <w:rFonts w:ascii="Aptos Narrow" w:hAnsi="Aptos Narrow"/>
                              <w:color w:val="000000" w:themeColor="text1"/>
                            </w:rPr>
                          </w:pPr>
                        </w:p>
                      </w:tc>
                      <w:tc>
                        <w:tcPr>
                          <w:tcW w:w="4509" w:type="pct"/>
                          <w:gridSpan w:val="3"/>
                          <w:vAlign w:val="bottom"/>
                        </w:tcPr>
                        <w:p w14:paraId="60F6F172" w14:textId="730A122B" w:rsidR="00DA7878" w:rsidRPr="006A51D3" w:rsidRDefault="000F57ED" w:rsidP="00DA7878">
                          <w:pPr>
                            <w:ind w:left="-57" w:right="-57"/>
                            <w:rPr>
                              <w:rFonts w:ascii="Aptos Narrow" w:hAnsi="Aptos Narrow"/>
                              <w:color w:val="000000" w:themeColor="text1"/>
                            </w:rPr>
                          </w:pPr>
                          <w:r w:rsidRPr="000F57ED">
                            <w:rPr>
                              <w:rFonts w:ascii="Aptos Narrow" w:hAnsi="Aptos Narrow"/>
                              <w:b/>
                              <w:bCs/>
                              <w:color w:val="000000" w:themeColor="text1"/>
                              <w:sz w:val="20"/>
                              <w:szCs w:val="20"/>
                            </w:rPr>
                            <w:t>Determination of Fixed Carbon in Coal</w:t>
                          </w:r>
                        </w:p>
                      </w:tc>
                    </w:tr>
                  </w:tbl>
                  <w:p w14:paraId="7B1774E4" w14:textId="77777777" w:rsidR="006A51D3" w:rsidRDefault="006A51D3" w:rsidP="006A51D3">
                    <w:pPr>
                      <w:jc w:val="center"/>
                    </w:pPr>
                  </w:p>
                </w:txbxContent>
              </v:textbox>
              <w10:wrap anchorx="page" anchory="page"/>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51BB4"/>
    <w:multiLevelType w:val="hybridMultilevel"/>
    <w:tmpl w:val="E56CEFBA"/>
    <w:lvl w:ilvl="0" w:tplc="04090003">
      <w:start w:val="1"/>
      <w:numFmt w:val="bullet"/>
      <w:lvlText w:val="o"/>
      <w:lvlJc w:val="left"/>
      <w:pPr>
        <w:ind w:left="1152" w:hanging="360"/>
      </w:pPr>
      <w:rPr>
        <w:rFonts w:ascii="Courier New" w:hAnsi="Courier New" w:cs="Courier New"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15:restartNumberingAfterBreak="0">
    <w:nsid w:val="3A4B018B"/>
    <w:multiLevelType w:val="hybridMultilevel"/>
    <w:tmpl w:val="B43CF630"/>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 w15:restartNumberingAfterBreak="0">
    <w:nsid w:val="3AAD330D"/>
    <w:multiLevelType w:val="multilevel"/>
    <w:tmpl w:val="68DC3418"/>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4C6168A8"/>
    <w:multiLevelType w:val="hybridMultilevel"/>
    <w:tmpl w:val="70806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E7A598F"/>
    <w:multiLevelType w:val="hybridMultilevel"/>
    <w:tmpl w:val="06D2E9F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num w:numId="1" w16cid:durableId="1704093614">
    <w:abstractNumId w:val="2"/>
  </w:num>
  <w:num w:numId="2" w16cid:durableId="238637372">
    <w:abstractNumId w:val="1"/>
  </w:num>
  <w:num w:numId="3" w16cid:durableId="290475042">
    <w:abstractNumId w:val="4"/>
  </w:num>
  <w:num w:numId="4" w16cid:durableId="1928805615">
    <w:abstractNumId w:val="3"/>
  </w:num>
  <w:num w:numId="5" w16cid:durableId="733507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1D3"/>
    <w:rsid w:val="0006381F"/>
    <w:rsid w:val="000F57ED"/>
    <w:rsid w:val="00262DB0"/>
    <w:rsid w:val="002A6ACE"/>
    <w:rsid w:val="003523E9"/>
    <w:rsid w:val="00414AE6"/>
    <w:rsid w:val="005836B6"/>
    <w:rsid w:val="00612496"/>
    <w:rsid w:val="006A51D3"/>
    <w:rsid w:val="006D4E12"/>
    <w:rsid w:val="007327DF"/>
    <w:rsid w:val="00740AEE"/>
    <w:rsid w:val="009D1EC4"/>
    <w:rsid w:val="00A31D51"/>
    <w:rsid w:val="00CE4742"/>
    <w:rsid w:val="00D40A99"/>
    <w:rsid w:val="00D93CE3"/>
    <w:rsid w:val="00DA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A0053"/>
  <w15:chartTrackingRefBased/>
  <w15:docId w15:val="{B57344C3-DBFA-47C1-9488-6244ABBB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5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5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5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5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1D3"/>
    <w:rPr>
      <w:rFonts w:eastAsiaTheme="majorEastAsia" w:cstheme="majorBidi"/>
      <w:color w:val="272727" w:themeColor="text1" w:themeTint="D8"/>
    </w:rPr>
  </w:style>
  <w:style w:type="paragraph" w:styleId="Title">
    <w:name w:val="Title"/>
    <w:basedOn w:val="Normal"/>
    <w:next w:val="Normal"/>
    <w:link w:val="TitleChar"/>
    <w:uiPriority w:val="10"/>
    <w:qFormat/>
    <w:rsid w:val="006A5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1D3"/>
    <w:pPr>
      <w:spacing w:before="160"/>
      <w:jc w:val="center"/>
    </w:pPr>
    <w:rPr>
      <w:i/>
      <w:iCs/>
      <w:color w:val="404040" w:themeColor="text1" w:themeTint="BF"/>
    </w:rPr>
  </w:style>
  <w:style w:type="character" w:customStyle="1" w:styleId="QuoteChar">
    <w:name w:val="Quote Char"/>
    <w:basedOn w:val="DefaultParagraphFont"/>
    <w:link w:val="Quote"/>
    <w:uiPriority w:val="29"/>
    <w:rsid w:val="006A51D3"/>
    <w:rPr>
      <w:i/>
      <w:iCs/>
      <w:color w:val="404040" w:themeColor="text1" w:themeTint="BF"/>
    </w:rPr>
  </w:style>
  <w:style w:type="paragraph" w:styleId="ListParagraph">
    <w:name w:val="List Paragraph"/>
    <w:basedOn w:val="Normal"/>
    <w:uiPriority w:val="34"/>
    <w:qFormat/>
    <w:rsid w:val="006A51D3"/>
    <w:pPr>
      <w:ind w:left="720"/>
      <w:contextualSpacing/>
    </w:pPr>
  </w:style>
  <w:style w:type="character" w:styleId="IntenseEmphasis">
    <w:name w:val="Intense Emphasis"/>
    <w:basedOn w:val="DefaultParagraphFont"/>
    <w:uiPriority w:val="21"/>
    <w:qFormat/>
    <w:rsid w:val="006A51D3"/>
    <w:rPr>
      <w:i/>
      <w:iCs/>
      <w:color w:val="0F4761" w:themeColor="accent1" w:themeShade="BF"/>
    </w:rPr>
  </w:style>
  <w:style w:type="paragraph" w:styleId="IntenseQuote">
    <w:name w:val="Intense Quote"/>
    <w:basedOn w:val="Normal"/>
    <w:next w:val="Normal"/>
    <w:link w:val="IntenseQuoteChar"/>
    <w:uiPriority w:val="30"/>
    <w:qFormat/>
    <w:rsid w:val="006A5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1D3"/>
    <w:rPr>
      <w:i/>
      <w:iCs/>
      <w:color w:val="0F4761" w:themeColor="accent1" w:themeShade="BF"/>
    </w:rPr>
  </w:style>
  <w:style w:type="character" w:styleId="IntenseReference">
    <w:name w:val="Intense Reference"/>
    <w:basedOn w:val="DefaultParagraphFont"/>
    <w:uiPriority w:val="32"/>
    <w:qFormat/>
    <w:rsid w:val="006A51D3"/>
    <w:rPr>
      <w:b/>
      <w:bCs/>
      <w:smallCaps/>
      <w:color w:val="0F4761" w:themeColor="accent1" w:themeShade="BF"/>
      <w:spacing w:val="5"/>
    </w:rPr>
  </w:style>
  <w:style w:type="paragraph" w:styleId="Header">
    <w:name w:val="header"/>
    <w:basedOn w:val="Normal"/>
    <w:link w:val="HeaderChar"/>
    <w:uiPriority w:val="99"/>
    <w:unhideWhenUsed/>
    <w:rsid w:val="006A51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1D3"/>
  </w:style>
  <w:style w:type="paragraph" w:styleId="Footer">
    <w:name w:val="footer"/>
    <w:basedOn w:val="Normal"/>
    <w:link w:val="FooterChar"/>
    <w:uiPriority w:val="99"/>
    <w:unhideWhenUsed/>
    <w:rsid w:val="006A51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1D3"/>
  </w:style>
  <w:style w:type="table" w:styleId="TableGrid">
    <w:name w:val="Table Grid"/>
    <w:basedOn w:val="TableNormal"/>
    <w:uiPriority w:val="39"/>
    <w:rsid w:val="006A51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Ikram</dc:creator>
  <cp:keywords/>
  <dc:description/>
  <cp:lastModifiedBy>Ikram</cp:lastModifiedBy>
  <cp:revision>2</cp:revision>
  <dcterms:created xsi:type="dcterms:W3CDTF">2026-02-17T12:56:00Z</dcterms:created>
  <dcterms:modified xsi:type="dcterms:W3CDTF">2026-02-17T12:56:00Z</dcterms:modified>
</cp:coreProperties>
</file>