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left"/>
      </w:pPr>
      <w:r>
        <w:rPr>
          <w:rFonts w:ascii="Aptos Display" w:hAnsi="Aptos Display"/>
          <w:b/>
          <w:color w:val="123B66"/>
          <w:sz w:val="30"/>
        </w:rPr>
        <w:t>IKRGY INFOTECH</w:t>
      </w:r>
    </w:p>
    <w:p>
      <w:pPr>
        <w:spacing w:before="240"/>
      </w:pPr>
      <w:r>
        <w:rPr>
          <w:rFonts w:ascii="Aptos Display" w:hAnsi="Aptos Display"/>
          <w:b/>
          <w:color w:val="123B66"/>
          <w:sz w:val="60"/>
        </w:rPr>
        <w:t>Privacy Policy</w:t>
      </w:r>
    </w:p>
    <w:p>
      <w:pPr>
        <w:pBdr>
          <w:bottom w:val="single" w:sz="32" w:space="1" w:color="0F9D8A"/>
        </w:pBdr>
      </w:pPr>
      <w:r>
        <w:rPr>
          <w:rFonts w:ascii="Aptos" w:hAnsi="Aptos"/>
          <w:b w:val="0"/>
          <w:color w:val="0F9D8A"/>
          <w:sz w:val="26"/>
        </w:rPr>
        <w:t>Recruiting Automation Platform</w:t>
      </w:r>
    </w:p>
    <w:tbl>
      <w:tblPr>
        <w:tblW w:type="auto" w:w="0"/>
        <w:jc w:val="left"/>
        <w:tblLayout w:type="fixed"/>
        <w:tblLook w:firstColumn="1" w:firstRow="1" w:lastColumn="0" w:lastRow="0" w:noHBand="0" w:noVBand="1" w:val="04A0"/>
      </w:tblPr>
      <w:tblGrid>
        <w:gridCol w:w="4997"/>
        <w:gridCol w:w="4997"/>
      </w:tblGrid>
      <w:tr>
        <w:tc>
          <w:tcPr>
            <w:tcW w:type="dxa" w:w="2520"/>
            <w:vAlign w:val="center"/>
            <w:tcBorders>
              <w:top w:val="single" w:sz="5" w:color="C7D7E5"/>
              <w:left w:val="single" w:sz="5" w:color="C7D7E5"/>
              <w:bottom w:val="single" w:sz="5" w:color="C7D7E5"/>
              <w:right w:val="single" w:sz="5" w:color="C7D7E5"/>
            </w:tcBorders>
            <w:shd w:fill="EAF4FB"/>
          </w:tcPr>
          <w:p>
            <w:pPr>
              <w:spacing w:after="0"/>
            </w:pPr>
            <w:r>
              <w:rPr>
                <w:rFonts w:ascii="Aptos" w:hAnsi="Aptos"/>
                <w:b/>
                <w:color w:val="123B66"/>
                <w:sz w:val="17"/>
              </w:rPr>
              <w:t>Project</w:t>
            </w:r>
          </w:p>
        </w:tc>
        <w:tc>
          <w:tcPr>
            <w:tcW w:type="dxa" w:w="6912"/>
            <w:vAlign w:val="center"/>
            <w:tcBorders>
              <w:top w:val="single" w:sz="5" w:color="C7D7E5"/>
              <w:left w:val="single" w:sz="5" w:color="C7D7E5"/>
              <w:bottom w:val="single" w:sz="5" w:color="C7D7E5"/>
              <w:right w:val="single" w:sz="5" w:color="C7D7E5"/>
            </w:tcBorders>
          </w:tcPr>
          <w:p>
            <w:pPr>
              <w:spacing w:after="0"/>
            </w:pPr>
            <w:r>
              <w:rPr>
                <w:rFonts w:ascii="Aptos" w:hAnsi="Aptos"/>
                <w:b w:val="0"/>
                <w:color w:val="183142"/>
                <w:sz w:val="17"/>
              </w:rPr>
              <w:t>Recruiting Automation Platform</w:t>
            </w:r>
          </w:p>
        </w:tc>
      </w:tr>
      <w:tr>
        <w:tc>
          <w:tcPr>
            <w:tcW w:type="dxa" w:w="2520"/>
            <w:vAlign w:val="center"/>
            <w:tcBorders>
              <w:top w:val="single" w:sz="5" w:color="C7D7E5"/>
              <w:left w:val="single" w:sz="5" w:color="C7D7E5"/>
              <w:bottom w:val="single" w:sz="5" w:color="C7D7E5"/>
              <w:right w:val="single" w:sz="5" w:color="C7D7E5"/>
            </w:tcBorders>
            <w:shd w:fill="EAF4FB"/>
          </w:tcPr>
          <w:p>
            <w:pPr>
              <w:spacing w:after="0"/>
            </w:pPr>
            <w:r>
              <w:rPr>
                <w:rFonts w:ascii="Aptos" w:hAnsi="Aptos"/>
                <w:b/>
                <w:color w:val="123B66"/>
                <w:sz w:val="17"/>
              </w:rPr>
              <w:t>Document status</w:t>
            </w:r>
          </w:p>
        </w:tc>
        <w:tc>
          <w:tcPr>
            <w:tcW w:type="dxa" w:w="6912"/>
            <w:vAlign w:val="center"/>
            <w:tcBorders>
              <w:top w:val="single" w:sz="5" w:color="C7D7E5"/>
              <w:left w:val="single" w:sz="5" w:color="C7D7E5"/>
              <w:bottom w:val="single" w:sz="5" w:color="C7D7E5"/>
              <w:right w:val="single" w:sz="5" w:color="C7D7E5"/>
            </w:tcBorders>
          </w:tcPr>
          <w:p>
            <w:pPr>
              <w:spacing w:after="0"/>
            </w:pPr>
            <w:r>
              <w:rPr>
                <w:rFonts w:ascii="Aptos" w:hAnsi="Aptos"/>
                <w:b w:val="0"/>
                <w:color w:val="183142"/>
                <w:sz w:val="17"/>
              </w:rPr>
              <w:t>Draft for legal review</w:t>
            </w:r>
          </w:p>
        </w:tc>
      </w:tr>
      <w:tr>
        <w:tc>
          <w:tcPr>
            <w:tcW w:type="dxa" w:w="2520"/>
            <w:vAlign w:val="center"/>
            <w:tcBorders>
              <w:top w:val="single" w:sz="5" w:color="C7D7E5"/>
              <w:left w:val="single" w:sz="5" w:color="C7D7E5"/>
              <w:bottom w:val="single" w:sz="5" w:color="C7D7E5"/>
              <w:right w:val="single" w:sz="5" w:color="C7D7E5"/>
            </w:tcBorders>
            <w:shd w:fill="EAF4FB"/>
          </w:tcPr>
          <w:p>
            <w:pPr>
              <w:spacing w:after="0"/>
            </w:pPr>
            <w:r>
              <w:rPr>
                <w:rFonts w:ascii="Aptos" w:hAnsi="Aptos"/>
                <w:b/>
                <w:color w:val="123B66"/>
                <w:sz w:val="17"/>
              </w:rPr>
              <w:t>Effective date</w:t>
            </w:r>
          </w:p>
        </w:tc>
        <w:tc>
          <w:tcPr>
            <w:tcW w:type="dxa" w:w="6912"/>
            <w:vAlign w:val="center"/>
            <w:tcBorders>
              <w:top w:val="single" w:sz="5" w:color="C7D7E5"/>
              <w:left w:val="single" w:sz="5" w:color="C7D7E5"/>
              <w:bottom w:val="single" w:sz="5" w:color="C7D7E5"/>
              <w:right w:val="single" w:sz="5" w:color="C7D7E5"/>
            </w:tcBorders>
          </w:tcPr>
          <w:p>
            <w:pPr>
              <w:spacing w:after="0"/>
            </w:pPr>
            <w:r>
              <w:rPr>
                <w:rFonts w:ascii="Aptos" w:hAnsi="Aptos"/>
                <w:b w:val="0"/>
                <w:color w:val="183142"/>
                <w:sz w:val="17"/>
                <w:shd w:fill="FFF2CC"/>
              </w:rPr>
              <w:t>[TO BE CONFIRMED]</w:t>
            </w:r>
          </w:p>
        </w:tc>
      </w:tr>
      <w:tr>
        <w:tc>
          <w:tcPr>
            <w:tcW w:type="dxa" w:w="2520"/>
            <w:vAlign w:val="center"/>
            <w:tcBorders>
              <w:top w:val="single" w:sz="5" w:color="C7D7E5"/>
              <w:left w:val="single" w:sz="5" w:color="C7D7E5"/>
              <w:bottom w:val="single" w:sz="5" w:color="C7D7E5"/>
              <w:right w:val="single" w:sz="5" w:color="C7D7E5"/>
            </w:tcBorders>
            <w:shd w:fill="EAF4FB"/>
          </w:tcPr>
          <w:p>
            <w:pPr>
              <w:spacing w:after="0"/>
            </w:pPr>
            <w:r>
              <w:rPr>
                <w:rFonts w:ascii="Aptos" w:hAnsi="Aptos"/>
                <w:b/>
                <w:color w:val="123B66"/>
                <w:sz w:val="17"/>
              </w:rPr>
              <w:t>Last updated</w:t>
            </w:r>
          </w:p>
        </w:tc>
        <w:tc>
          <w:tcPr>
            <w:tcW w:type="dxa" w:w="6912"/>
            <w:vAlign w:val="center"/>
            <w:tcBorders>
              <w:top w:val="single" w:sz="5" w:color="C7D7E5"/>
              <w:left w:val="single" w:sz="5" w:color="C7D7E5"/>
              <w:bottom w:val="single" w:sz="5" w:color="C7D7E5"/>
              <w:right w:val="single" w:sz="5" w:color="C7D7E5"/>
            </w:tcBorders>
          </w:tcPr>
          <w:p>
            <w:pPr>
              <w:spacing w:after="0"/>
            </w:pPr>
            <w:r>
              <w:rPr>
                <w:rFonts w:ascii="Aptos" w:hAnsi="Aptos"/>
                <w:b w:val="0"/>
                <w:color w:val="183142"/>
                <w:sz w:val="17"/>
                <w:shd w:fill="FFF2CC"/>
              </w:rPr>
              <w:t>[TO BE CONFIRMED]</w:t>
            </w:r>
          </w:p>
        </w:tc>
      </w:tr>
      <w:tr>
        <w:tc>
          <w:tcPr>
            <w:tcW w:type="dxa" w:w="2520"/>
            <w:vAlign w:val="center"/>
            <w:tcBorders>
              <w:top w:val="single" w:sz="5" w:color="C7D7E5"/>
              <w:left w:val="single" w:sz="5" w:color="C7D7E5"/>
              <w:bottom w:val="single" w:sz="5" w:color="C7D7E5"/>
              <w:right w:val="single" w:sz="5" w:color="C7D7E5"/>
            </w:tcBorders>
            <w:shd w:fill="EAF4FB"/>
          </w:tcPr>
          <w:p>
            <w:pPr>
              <w:spacing w:after="0"/>
            </w:pPr>
            <w:r>
              <w:rPr>
                <w:rFonts w:ascii="Aptos" w:hAnsi="Aptos"/>
                <w:b/>
                <w:color w:val="123B66"/>
                <w:sz w:val="17"/>
              </w:rPr>
              <w:t>Prepared for</w:t>
            </w:r>
          </w:p>
        </w:tc>
        <w:tc>
          <w:tcPr>
            <w:tcW w:type="dxa" w:w="6912"/>
            <w:vAlign w:val="center"/>
            <w:tcBorders>
              <w:top w:val="single" w:sz="5" w:color="C7D7E5"/>
              <w:left w:val="single" w:sz="5" w:color="C7D7E5"/>
              <w:bottom w:val="single" w:sz="5" w:color="C7D7E5"/>
              <w:right w:val="single" w:sz="5" w:color="C7D7E5"/>
            </w:tcBorders>
          </w:tcPr>
          <w:p>
            <w:pPr>
              <w:spacing w:after="0"/>
            </w:pPr>
            <w:r>
              <w:rPr>
                <w:rFonts w:ascii="Aptos" w:hAnsi="Aptos"/>
                <w:b w:val="0"/>
                <w:color w:val="183142"/>
                <w:sz w:val="17"/>
              </w:rPr>
              <w:t>Client / authorized users</w:t>
            </w:r>
          </w:p>
        </w:tc>
      </w:tr>
    </w:tbl>
    <w:p>
      <w:pPr>
        <w:spacing w:before="360"/>
      </w:pPr>
      <w:r>
        <w:rPr>
          <w:rFonts w:ascii="Aptos" w:hAnsi="Aptos"/>
          <w:b/>
          <w:color w:val="123B66"/>
          <w:sz w:val="18"/>
        </w:rPr>
        <w:t xml:space="preserve">Important: </w:t>
      </w:r>
      <w:r>
        <w:rPr>
          <w:rFonts w:ascii="Aptos" w:hAnsi="Aptos"/>
          <w:b w:val="0"/>
          <w:color w:val="5A6773"/>
          <w:sz w:val="18"/>
        </w:rPr>
        <w:t>This is a project-specific working draft and should be reviewed by the client's legal/privacy team before production publication.</w:t>
      </w:r>
    </w:p>
    <w:p>
      <w:r>
        <w:br w:type="page"/>
      </w:r>
    </w:p>
    <w:p>
      <w:pPr>
        <w:pStyle w:val="Heading1"/>
      </w:pPr>
      <w:r>
        <w:t>Document Control</w:t>
      </w:r>
    </w:p>
    <w:tbl>
      <w:tblPr>
        <w:tblW w:type="auto" w:w="0"/>
        <w:jc w:val="left"/>
        <w:tblLook w:firstColumn="1" w:firstRow="1" w:lastColumn="0" w:lastRow="0" w:noHBand="0" w:noVBand="1" w:val="04A0"/>
      </w:tblPr>
      <w:tblGrid>
        <w:gridCol w:w="4997"/>
        <w:gridCol w:w="4997"/>
      </w:tblGrid>
      <w:tr>
        <w:tc>
          <w:tcPr>
            <w:tcW w:type="dxa" w:w="4997"/>
            <w:shd w:fill="EEF9F7"/>
            <w:tcBorders>
              <w:top w:val="single" w:sz="4" w:color="C7D7E5"/>
              <w:left w:val="single" w:sz="4" w:color="C7D7E5"/>
              <w:bottom w:val="single" w:sz="4" w:color="C7D7E5"/>
              <w:right w:val="single" w:sz="4" w:color="C7D7E5"/>
            </w:tcBorders>
          </w:tcPr>
          <w:p>
            <w:pPr>
              <w:spacing w:after="0"/>
            </w:pPr>
            <w:r>
              <w:rPr>
                <w:rFonts w:ascii="Aptos" w:hAnsi="Aptos"/>
                <w:b/>
                <w:color w:val="123B66"/>
                <w:sz w:val="17"/>
              </w:rPr>
              <w:t>Document title</w:t>
            </w:r>
          </w:p>
        </w:tc>
        <w:tc>
          <w:tcPr>
            <w:tcW w:type="dxa" w:w="4997"/>
            <w:tcBorders>
              <w:top w:val="single" w:sz="4" w:color="C7D7E5"/>
              <w:left w:val="single" w:sz="4" w:color="C7D7E5"/>
              <w:bottom w:val="single" w:sz="4" w:color="C7D7E5"/>
              <w:right w:val="single" w:sz="4" w:color="C7D7E5"/>
            </w:tcBorders>
          </w:tcPr>
          <w:p>
            <w:pPr>
              <w:spacing w:after="0"/>
            </w:pPr>
            <w:r>
              <w:rPr>
                <w:rFonts w:ascii="Aptos" w:hAnsi="Aptos"/>
                <w:b w:val="0"/>
                <w:color w:val="183142"/>
                <w:sz w:val="17"/>
              </w:rPr>
              <w:t>IKRGY Recruiting Automation Platform - Privacy Policy</w:t>
            </w:r>
          </w:p>
        </w:tc>
      </w:tr>
      <w:tr>
        <w:tc>
          <w:tcPr>
            <w:tcW w:type="dxa" w:w="4997"/>
            <w:shd w:fill="EEF9F7"/>
            <w:tcBorders>
              <w:top w:val="single" w:sz="4" w:color="C7D7E5"/>
              <w:left w:val="single" w:sz="4" w:color="C7D7E5"/>
              <w:bottom w:val="single" w:sz="4" w:color="C7D7E5"/>
              <w:right w:val="single" w:sz="4" w:color="C7D7E5"/>
            </w:tcBorders>
          </w:tcPr>
          <w:p>
            <w:pPr>
              <w:spacing w:after="0"/>
            </w:pPr>
            <w:r>
              <w:rPr>
                <w:rFonts w:ascii="Aptos" w:hAnsi="Aptos"/>
                <w:b/>
                <w:color w:val="123B66"/>
                <w:sz w:val="17"/>
              </w:rPr>
              <w:t>Platform</w:t>
            </w:r>
          </w:p>
        </w:tc>
        <w:tc>
          <w:tcPr>
            <w:tcW w:type="dxa" w:w="4997"/>
            <w:tcBorders>
              <w:top w:val="single" w:sz="4" w:color="C7D7E5"/>
              <w:left w:val="single" w:sz="4" w:color="C7D7E5"/>
              <w:bottom w:val="single" w:sz="4" w:color="C7D7E5"/>
              <w:right w:val="single" w:sz="4" w:color="C7D7E5"/>
            </w:tcBorders>
          </w:tcPr>
          <w:p>
            <w:pPr>
              <w:spacing w:after="0"/>
            </w:pPr>
            <w:r>
              <w:rPr>
                <w:rFonts w:ascii="Aptos" w:hAnsi="Aptos"/>
                <w:b w:val="0"/>
                <w:color w:val="183142"/>
                <w:sz w:val="17"/>
              </w:rPr>
              <w:t>IKRGY Recruiting Automation Platform</w:t>
            </w:r>
          </w:p>
        </w:tc>
      </w:tr>
      <w:tr>
        <w:tc>
          <w:tcPr>
            <w:tcW w:type="dxa" w:w="4997"/>
            <w:shd w:fill="EEF9F7"/>
            <w:tcBorders>
              <w:top w:val="single" w:sz="4" w:color="C7D7E5"/>
              <w:left w:val="single" w:sz="4" w:color="C7D7E5"/>
              <w:bottom w:val="single" w:sz="4" w:color="C7D7E5"/>
              <w:right w:val="single" w:sz="4" w:color="C7D7E5"/>
            </w:tcBorders>
          </w:tcPr>
          <w:p>
            <w:pPr>
              <w:spacing w:after="0"/>
            </w:pPr>
            <w:r>
              <w:rPr>
                <w:rFonts w:ascii="Aptos" w:hAnsi="Aptos"/>
                <w:b/>
                <w:color w:val="123B66"/>
                <w:sz w:val="17"/>
              </w:rPr>
              <w:t>Status</w:t>
            </w:r>
          </w:p>
        </w:tc>
        <w:tc>
          <w:tcPr>
            <w:tcW w:type="dxa" w:w="4997"/>
            <w:tcBorders>
              <w:top w:val="single" w:sz="4" w:color="C7D7E5"/>
              <w:left w:val="single" w:sz="4" w:color="C7D7E5"/>
              <w:bottom w:val="single" w:sz="4" w:color="C7D7E5"/>
              <w:right w:val="single" w:sz="4" w:color="C7D7E5"/>
            </w:tcBorders>
          </w:tcPr>
          <w:p>
            <w:pPr>
              <w:spacing w:after="0"/>
            </w:pPr>
            <w:r>
              <w:rPr>
                <w:rFonts w:ascii="Aptos" w:hAnsi="Aptos"/>
                <w:b w:val="0"/>
                <w:color w:val="183142"/>
                <w:sz w:val="17"/>
              </w:rPr>
              <w:t>Draft for legal review</w:t>
            </w:r>
          </w:p>
        </w:tc>
      </w:tr>
      <w:tr>
        <w:tc>
          <w:tcPr>
            <w:tcW w:type="dxa" w:w="4997"/>
            <w:shd w:fill="EEF9F7"/>
            <w:tcBorders>
              <w:top w:val="single" w:sz="4" w:color="C7D7E5"/>
              <w:left w:val="single" w:sz="4" w:color="C7D7E5"/>
              <w:bottom w:val="single" w:sz="4" w:color="C7D7E5"/>
              <w:right w:val="single" w:sz="4" w:color="C7D7E5"/>
            </w:tcBorders>
          </w:tcPr>
          <w:p>
            <w:pPr>
              <w:spacing w:after="0"/>
            </w:pPr>
            <w:r>
              <w:rPr>
                <w:rFonts w:ascii="Aptos" w:hAnsi="Aptos"/>
                <w:b/>
                <w:color w:val="123B66"/>
                <w:sz w:val="17"/>
              </w:rPr>
              <w:t>Companion materials</w:t>
            </w:r>
          </w:p>
        </w:tc>
        <w:tc>
          <w:tcPr>
            <w:tcW w:type="dxa" w:w="4997"/>
            <w:tcBorders>
              <w:top w:val="single" w:sz="4" w:color="C7D7E5"/>
              <w:left w:val="single" w:sz="4" w:color="C7D7E5"/>
              <w:bottom w:val="single" w:sz="4" w:color="C7D7E5"/>
              <w:right w:val="single" w:sz="4" w:color="C7D7E5"/>
            </w:tcBorders>
          </w:tcPr>
          <w:p>
            <w:pPr>
              <w:spacing w:after="0"/>
            </w:pPr>
            <w:r>
              <w:rPr>
                <w:rFonts w:ascii="Aptos" w:hAnsi="Aptos"/>
                <w:b w:val="0"/>
                <w:color w:val="183142"/>
                <w:sz w:val="17"/>
              </w:rPr>
              <w:t>RFP, Solution Design, Technical Design, Developer Implementation Guide</w:t>
            </w:r>
          </w:p>
        </w:tc>
      </w:tr>
    </w:tbl>
    <w:p>
      <w:pPr>
        <w:pStyle w:val="Heading1"/>
      </w:pPr>
      <w:r>
        <w:t>1. Introduction</w:t>
      </w:r>
    </w:p>
    <w:p>
      <w:r>
        <w:t>This Privacy Policy explains how personal information may be collected, used, processed, stored, shared, and protected when the Recruiting Automation Platform is used.</w:t>
      </w:r>
    </w:p>
    <w:p>
      <w:r>
        <w:t>The platform supports two primary workflows: a Candidate Rescheduling Agent and a Candidate Ranking &amp; Recruiter Alert workflow. The platform is designed to automate selected recruiting activities while keeping recruiters responsible for final employment-related decisions.</w:t>
      </w:r>
    </w:p>
    <w:p>
      <w:pPr>
        <w:pStyle w:val="Heading1"/>
      </w:pPr>
      <w:r>
        <w:t>2. Roles and Responsibilities</w:t>
      </w:r>
    </w:p>
    <w:p>
      <w:r>
        <w:t>Depending on the final deployment model, the client organization may determine why and how candidate and employee information is processed. IKRGY Infotech Pvt Ltd may act as a technology provider, implementation partner, operator, or service provider on the client's behalf.</w:t>
      </w:r>
    </w:p>
    <w:p>
      <w:r>
        <w:t>The final controller/processor or equivalent legal relationship must be confirmed in the applicable contract, Data Processing Agreement, or other governing agreement.</w:t>
      </w:r>
    </w:p>
    <w:p>
      <w:pPr>
        <w:pStyle w:val="Heading1"/>
      </w:pPr>
      <w:r>
        <w:t>3. Information the Platform May Process</w:t>
      </w:r>
    </w:p>
    <w:p>
      <w:pPr>
        <w:pStyle w:val="ListBullet"/>
        <w:spacing w:after="40"/>
        <w:ind w:left="259" w:hanging="144"/>
      </w:pPr>
      <w:r>
        <w:rPr>
          <w:rFonts w:ascii="Aptos" w:hAnsi="Aptos"/>
          <w:b w:val="0"/>
          <w:color w:val="183142"/>
          <w:sz w:val="18"/>
        </w:rPr>
        <w:t>Candidate name and contact information.</w:t>
      </w:r>
    </w:p>
    <w:p>
      <w:pPr>
        <w:pStyle w:val="ListBullet"/>
        <w:spacing w:after="40"/>
        <w:ind w:left="259" w:hanging="144"/>
      </w:pPr>
      <w:r>
        <w:rPr>
          <w:rFonts w:ascii="Aptos" w:hAnsi="Aptos"/>
          <w:b w:val="0"/>
          <w:color w:val="183142"/>
          <w:sz w:val="18"/>
        </w:rPr>
        <w:t>Resume/CV, education, employment history, skills, qualifications, and application responses.</w:t>
      </w:r>
    </w:p>
    <w:p>
      <w:pPr>
        <w:pStyle w:val="ListBullet"/>
        <w:spacing w:after="40"/>
        <w:ind w:left="259" w:hanging="144"/>
      </w:pPr>
      <w:r>
        <w:rPr>
          <w:rFonts w:ascii="Aptos" w:hAnsi="Aptos"/>
          <w:b w:val="0"/>
          <w:color w:val="183142"/>
          <w:sz w:val="18"/>
        </w:rPr>
        <w:t>Requisition, interview, interviewer, scheduling, availability, and time-zone information.</w:t>
      </w:r>
    </w:p>
    <w:p>
      <w:pPr>
        <w:pStyle w:val="ListBullet"/>
        <w:spacing w:after="40"/>
        <w:ind w:left="259" w:hanging="144"/>
      </w:pPr>
      <w:r>
        <w:rPr>
          <w:rFonts w:ascii="Aptos" w:hAnsi="Aptos"/>
          <w:b w:val="0"/>
          <w:color w:val="183142"/>
          <w:sz w:val="18"/>
        </w:rPr>
        <w:t>Candidate and recruiter communications, recruiter comments, candidate status, and workflow state.</w:t>
      </w:r>
    </w:p>
    <w:p>
      <w:pPr>
        <w:pStyle w:val="ListBullet"/>
        <w:spacing w:after="40"/>
        <w:ind w:left="259" w:hanging="144"/>
      </w:pPr>
      <w:r>
        <w:rPr>
          <w:rFonts w:ascii="Aptos" w:hAnsi="Aptos"/>
          <w:b w:val="0"/>
          <w:color w:val="183142"/>
          <w:sz w:val="18"/>
        </w:rPr>
        <w:t>AI-generated assessments, scores, explanations, confidence information, and recommendations.</w:t>
      </w:r>
    </w:p>
    <w:p>
      <w:pPr>
        <w:pStyle w:val="ListBullet"/>
        <w:spacing w:after="40"/>
        <w:ind w:left="259" w:hanging="144"/>
      </w:pPr>
      <w:r>
        <w:rPr>
          <w:rFonts w:ascii="Aptos" w:hAnsi="Aptos"/>
          <w:b w:val="0"/>
          <w:color w:val="183142"/>
          <w:sz w:val="18"/>
        </w:rPr>
        <w:t>Approval decisions, system events, error information, security events, and audit records.</w:t>
      </w:r>
    </w:p>
    <w:p>
      <w:pPr>
        <w:pStyle w:val="Heading1"/>
      </w:pPr>
      <w:r>
        <w:t>4. Sources of Information</w:t>
      </w:r>
    </w:p>
    <w:p>
      <w:r>
        <w:t>Information may be obtained from systems authorized by the client, including Greenhouse or another approved ATS, Gmail/Google Workspace, Microsoft Outlook or Microsoft 365, Google Calendar, Slack or approved notification systems, approved recruiter dashboards, information submitted by candidates, approved AI providers, and controlled browser automation where a required API is unavailable.</w:t>
      </w:r>
    </w:p>
    <w:p>
      <w:pPr>
        <w:pStyle w:val="Heading1"/>
      </w:pPr>
      <w:r>
        <w:t>5. How Information Is Used</w:t>
      </w:r>
    </w:p>
    <w:p>
      <w:pPr>
        <w:pStyle w:val="ListBullet"/>
        <w:spacing w:after="40"/>
        <w:ind w:left="259" w:hanging="144"/>
      </w:pPr>
      <w:r>
        <w:rPr>
          <w:rFonts w:ascii="Aptos" w:hAnsi="Aptos"/>
          <w:b w:val="0"/>
          <w:color w:val="183142"/>
          <w:sz w:val="18"/>
        </w:rPr>
        <w:t>Identify and process interview rescheduling requests.</w:t>
      </w:r>
    </w:p>
    <w:p>
      <w:pPr>
        <w:pStyle w:val="ListBullet"/>
        <w:spacing w:after="40"/>
        <w:ind w:left="259" w:hanging="144"/>
      </w:pPr>
      <w:r>
        <w:rPr>
          <w:rFonts w:ascii="Aptos" w:hAnsi="Aptos"/>
          <w:b w:val="0"/>
          <w:color w:val="183142"/>
          <w:sz w:val="18"/>
        </w:rPr>
        <w:t>Associate communications with the correct candidate, requisition, and interview.</w:t>
      </w:r>
    </w:p>
    <w:p>
      <w:pPr>
        <w:pStyle w:val="ListBullet"/>
        <w:spacing w:after="40"/>
        <w:ind w:left="259" w:hanging="144"/>
      </w:pPr>
      <w:r>
        <w:rPr>
          <w:rFonts w:ascii="Aptos" w:hAnsi="Aptos"/>
          <w:b w:val="0"/>
          <w:color w:val="183142"/>
          <w:sz w:val="18"/>
        </w:rPr>
        <w:t>Check calendar availability and prepare or execute approved scheduling actions.</w:t>
      </w:r>
    </w:p>
    <w:p>
      <w:pPr>
        <w:pStyle w:val="ListBullet"/>
        <w:spacing w:after="40"/>
        <w:ind w:left="259" w:hanging="144"/>
      </w:pPr>
      <w:r>
        <w:rPr>
          <w:rFonts w:ascii="Aptos" w:hAnsi="Aptos"/>
          <w:b w:val="0"/>
          <w:color w:val="183142"/>
          <w:sz w:val="18"/>
        </w:rPr>
        <w:t>Prepare candidate communications and recruiter notifications.</w:t>
      </w:r>
    </w:p>
    <w:p>
      <w:pPr>
        <w:pStyle w:val="ListBullet"/>
        <w:spacing w:after="40"/>
        <w:ind w:left="259" w:hanging="144"/>
      </w:pPr>
      <w:r>
        <w:rPr>
          <w:rFonts w:ascii="Aptos" w:hAnsi="Aptos"/>
          <w:b w:val="0"/>
          <w:color w:val="183142"/>
          <w:sz w:val="18"/>
        </w:rPr>
        <w:t>Evaluate candidates against configured, job-related criteria and create recruiter shortlists.</w:t>
      </w:r>
    </w:p>
    <w:p>
      <w:pPr>
        <w:pStyle w:val="ListBullet"/>
        <w:spacing w:after="40"/>
        <w:ind w:left="259" w:hanging="144"/>
      </w:pPr>
      <w:r>
        <w:rPr>
          <w:rFonts w:ascii="Aptos" w:hAnsi="Aptos"/>
          <w:b w:val="0"/>
          <w:color w:val="183142"/>
          <w:sz w:val="18"/>
        </w:rPr>
        <w:t>Manage human approvals, exceptions, duplicate prevention, troubleshooting, security, and auditability.</w:t>
      </w:r>
    </w:p>
    <w:p>
      <w:pPr>
        <w:pStyle w:val="Heading1"/>
      </w:pPr>
      <w:r>
        <w:t>6. Artificial Intelligence Processing</w:t>
      </w:r>
    </w:p>
    <w:p>
      <w:r>
        <w:t>AI services may assist with reschedule intent detection, scheduling-constraint extraction, entity resolution, communication drafting, candidate evaluation, and rationale generation.</w:t>
      </w:r>
    </w:p>
    <w:p>
      <w:r>
        <w:t>AI output is treated as a recommendation or proposed action. It is not intended to operate as an independent final employment decision. Candidate-ranking criteria should be based on legitimate requirements for the applicable position and configured by authorized personnel.</w:t>
      </w:r>
    </w:p>
    <w:p>
      <w:pPr>
        <w:pStyle w:val="Heading1"/>
      </w:pPr>
      <w:r>
        <w:t>7. Human Review and Automated Decision-Making</w:t>
      </w:r>
    </w:p>
    <w:p>
      <w:r>
        <w:t>The platform is designed around human-in-the-loop controls. For candidate ranking, recruiters review the shortlist, evidence, rationale, and candidate information before deciding what action to take. The current approved design does not authorize the system to make final hiring decisions or automatically advance or reject candidates.</w:t>
      </w:r>
    </w:p>
    <w:p>
      <w:r>
        <w:t>For interview rescheduling, the system may operate in draft-only mode or an approved auto-send mode. Draft-only mode requires recruiter approval before scheduling changes or candidate communications are executed. Auto-send may be enabled only for configured cases that meet approved guardrails and confidence requirements.</w:t>
      </w:r>
    </w:p>
    <w:p>
      <w:pPr>
        <w:pStyle w:val="Heading1"/>
      </w:pPr>
      <w:r>
        <w:t>8. Rescheduling Guardrails</w:t>
      </w:r>
    </w:p>
    <w:p>
      <w:pPr>
        <w:pStyle w:val="ListBullet"/>
        <w:spacing w:after="40"/>
        <w:ind w:left="259" w:hanging="144"/>
      </w:pPr>
      <w:r>
        <w:rPr>
          <w:rFonts w:ascii="Aptos" w:hAnsi="Aptos"/>
          <w:b w:val="0"/>
          <w:color w:val="183142"/>
          <w:sz w:val="18"/>
        </w:rPr>
        <w:t>Interviewer availability for the proposed slot.</w:t>
      </w:r>
    </w:p>
    <w:p>
      <w:pPr>
        <w:pStyle w:val="ListBullet"/>
        <w:spacing w:after="40"/>
        <w:ind w:left="259" w:hanging="144"/>
      </w:pPr>
      <w:r>
        <w:rPr>
          <w:rFonts w:ascii="Aptos" w:hAnsi="Aptos"/>
          <w:b w:val="0"/>
          <w:color w:val="183142"/>
          <w:sz w:val="18"/>
        </w:rPr>
        <w:t>Candidate availability and stated scheduling constraints.</w:t>
      </w:r>
    </w:p>
    <w:p>
      <w:pPr>
        <w:pStyle w:val="ListBullet"/>
        <w:spacing w:after="40"/>
        <w:ind w:left="259" w:hanging="144"/>
      </w:pPr>
      <w:r>
        <w:rPr>
          <w:rFonts w:ascii="Aptos" w:hAnsi="Aptos"/>
          <w:b w:val="0"/>
          <w:color w:val="183142"/>
          <w:sz w:val="18"/>
        </w:rPr>
        <w:t>Correct time-zone handling.</w:t>
      </w:r>
    </w:p>
    <w:p>
      <w:pPr>
        <w:pStyle w:val="ListBullet"/>
        <w:spacing w:after="40"/>
        <w:ind w:left="259" w:hanging="144"/>
      </w:pPr>
      <w:r>
        <w:rPr>
          <w:rFonts w:ascii="Aptos" w:hAnsi="Aptos"/>
          <w:b w:val="0"/>
          <w:color w:val="183142"/>
          <w:sz w:val="18"/>
        </w:rPr>
        <w:t>Preservation of interview duration and required buffers.</w:t>
      </w:r>
    </w:p>
    <w:p>
      <w:pPr>
        <w:pStyle w:val="ListBullet"/>
        <w:spacing w:after="40"/>
        <w:ind w:left="259" w:hanging="144"/>
      </w:pPr>
      <w:r>
        <w:rPr>
          <w:rFonts w:ascii="Aptos" w:hAnsi="Aptos"/>
          <w:b w:val="0"/>
          <w:color w:val="183142"/>
          <w:sz w:val="18"/>
        </w:rPr>
        <w:t>Positive identification of the correct candidate, requisition, and interview.</w:t>
      </w:r>
    </w:p>
    <w:p>
      <w:pPr>
        <w:pStyle w:val="ListBullet"/>
        <w:spacing w:after="40"/>
        <w:ind w:left="259" w:hanging="144"/>
      </w:pPr>
      <w:r>
        <w:rPr>
          <w:rFonts w:ascii="Aptos" w:hAnsi="Aptos"/>
          <w:b w:val="0"/>
          <w:color w:val="183142"/>
          <w:sz w:val="18"/>
        </w:rPr>
        <w:t>Routing of low-confidence, ambiguous, or guardrail-failing cases to a recruiter.</w:t>
      </w:r>
    </w:p>
    <w:p>
      <w:pPr>
        <w:pStyle w:val="Heading1"/>
      </w:pPr>
      <w:r>
        <w:t>9. Connected Services and Third Parties</w:t>
      </w:r>
    </w:p>
    <w:p>
      <w:r>
        <w:t>The platform may communicate with services selected or approved by the client, including Greenhouse, Google, Microsoft, Slack, Anthropic, OpenAI, infrastructure providers, monitoring providers, and other authorized services. Information sent to those services is subject to the applicable contracts, configurations, and privacy terms governing those services.</w:t>
      </w:r>
    </w:p>
    <w:p>
      <w:r>
        <w:t>The production subprocessor/service-provider list should be documented and maintained by the responsible organization.</w:t>
      </w:r>
    </w:p>
    <w:p>
      <w:pPr>
        <w:pStyle w:val="Heading1"/>
      </w:pPr>
      <w:r>
        <w:t>10. API and Browser Automation</w:t>
      </w:r>
    </w:p>
    <w:p>
      <w:r>
        <w:t>Official APIs should be used whenever suitable functionality is available. Where a required action is unavailable through an approved API, controlled browser automation such as Playwright may be used with authorized credentials, restricted permissions, monitoring, and audit logging.</w:t>
      </w:r>
    </w:p>
    <w:p>
      <w:pPr>
        <w:pStyle w:val="Heading1"/>
      </w:pPr>
      <w:r>
        <w:t>11. Audit Logging</w:t>
      </w:r>
    </w:p>
    <w:p>
      <w:r>
        <w:t>The platform may maintain append-only audit records for workflow triggers, relevant data access, AI processing events, proposed actions, executed actions, approvals, exceptions, errors, notifications, and administrative events. Access to audit information should be restricted to authorized personnel.</w:t>
      </w:r>
    </w:p>
    <w:p>
      <w:pPr>
        <w:pStyle w:val="Heading1"/>
      </w:pPr>
      <w:r>
        <w:t>12. Data Minimization</w:t>
      </w:r>
    </w:p>
    <w:p>
      <w:r>
        <w:t>The platform should process only information reasonably required to perform configured recruiting workflows. Greenhouse or another approved system of record should remain authoritative where applicable, and unnecessary duplication of candidate information should be avoided.</w:t>
      </w:r>
    </w:p>
    <w:p>
      <w:pPr>
        <w:pStyle w:val="Heading1"/>
      </w:pPr>
      <w:r>
        <w:t>13. Data Retention</w:t>
      </w:r>
    </w:p>
    <w:p>
      <w:r>
        <w:t>Retention periods have not yet been finalized. Candidate information, workflow records, AI processing records, approval records, and audit logs should be retained only for the approved period required for operational, legal, security, audit, or contractual purposes.</w:t>
      </w:r>
    </w:p>
    <w:p>
      <w:r>
        <w:t>Production retention schedule: [TO BE CONFIRMED WITH CLIENT LEGAL/PRIVACY TEAM].</w:t>
      </w:r>
    </w:p>
    <w:p>
      <w:pPr>
        <w:pStyle w:val="Heading1"/>
      </w:pPr>
      <w:r>
        <w:t>14. Data Security</w:t>
      </w:r>
    </w:p>
    <w:p>
      <w:r>
        <w:t>The platform is designed to use controls such as least-privilege access, role-based permissions, centralized secrets management, encrypted network connections, controlled credentials, environment separation, audit logging, monitoring, and restricted access to candidate information. No information system can guarantee absolute security.</w:t>
      </w:r>
    </w:p>
    <w:p>
      <w:pPr>
        <w:pStyle w:val="Heading1"/>
      </w:pPr>
      <w:r>
        <w:t>15. Access Controls</w:t>
      </w:r>
    </w:p>
    <w:p>
      <w:r>
        <w:t>Recruiters should access only the candidates and requisitions they are authorized to view. Administrative functions such as changing automation settings, ranking criteria, integration credentials, retention rules, and system permissions should be restricted to authorized roles.</w:t>
      </w:r>
    </w:p>
    <w:p>
      <w:pPr>
        <w:pStyle w:val="Heading1"/>
      </w:pPr>
      <w:r>
        <w:t>16. International Processing and Data Location</w:t>
      </w:r>
    </w:p>
    <w:p>
      <w:r>
        <w:t>The final hosting region, data-residency requirements, and permitted international transfers have not yet been confirmed. Production hosting and permitted processing locations: [TO BE CONFIRMED].</w:t>
      </w:r>
    </w:p>
    <w:p>
      <w:pPr>
        <w:pStyle w:val="Heading1"/>
      </w:pPr>
      <w:r>
        <w:t>17. Candidate and Individual Rights</w:t>
      </w:r>
    </w:p>
    <w:p>
      <w:r>
        <w:t>Depending on applicable law and the relationship between the candidate and the client, individuals may have rights concerning their personal information, including rights of access, correction, deletion, restriction, or information about processing. Requests concerning recruiting data should normally be directed to the organization responsible for the recruiting process.</w:t>
      </w:r>
    </w:p>
    <w:p>
      <w:r>
        <w:t>Candidate privacy contact: [TO BE CONFIRMED].</w:t>
      </w:r>
    </w:p>
    <w:p>
      <w:pPr>
        <w:pStyle w:val="Heading1"/>
      </w:pPr>
      <w:r>
        <w:t>18. Sensitive Information</w:t>
      </w:r>
    </w:p>
    <w:p>
      <w:r>
        <w:t>The platform should not intentionally infer or use sensitive personal characteristics for candidate ranking unless such processing is explicitly approved, lawful, and necessary for the recruiting process. Ranking criteria should focus on legitimate job-related qualifications.</w:t>
      </w:r>
    </w:p>
    <w:p>
      <w:pPr>
        <w:pStyle w:val="Heading1"/>
      </w:pPr>
      <w:r>
        <w:t>19. Children</w:t>
      </w:r>
    </w:p>
    <w:p>
      <w:r>
        <w:t>The platform is intended for employment-related recruiting processes. The minimum permitted age and handling of applications from minors must follow the client's recruiting policy and applicable law. Minimum age policy: [TO BE CONFIRMED].</w:t>
      </w:r>
    </w:p>
    <w:p>
      <w:pPr>
        <w:pStyle w:val="Heading1"/>
      </w:pPr>
      <w:r>
        <w:t>20. Changes to This Policy</w:t>
      </w:r>
    </w:p>
    <w:p>
      <w:r>
        <w:t>This Privacy Policy may be updated as the platform, integrations, legal requirements, or processing activities change. Material changes should be communicated through an appropriate organizational or platform channel.</w:t>
      </w:r>
    </w:p>
    <w:p>
      <w:pPr>
        <w:pStyle w:val="Heading1"/>
      </w:pPr>
      <w:r>
        <w:t>21. Contact</w:t>
      </w:r>
    </w:p>
    <w:p>
      <w:r>
        <w:t>Questions about privacy or the processing of personal information may be directed to the organization identified below.</w:t>
      </w:r>
    </w:p>
    <w:p>
      <w:r>
        <w:rPr>
          <w:rFonts w:ascii="Aptos" w:hAnsi="Aptos"/>
          <w:b/>
          <w:color w:val="123B66"/>
          <w:sz w:val="20"/>
        </w:rPr>
        <w:t>Items to confirm before publication</w:t>
      </w:r>
    </w:p>
    <w:tbl>
      <w:tblPr>
        <w:tblW w:type="auto" w:w="0"/>
        <w:jc w:val="left"/>
        <w:tblLook w:firstColumn="1" w:firstRow="1" w:lastColumn="0" w:lastRow="0" w:noHBand="0" w:noVBand="1" w:val="04A0"/>
      </w:tblPr>
      <w:tblGrid>
        <w:gridCol w:w="4997"/>
        <w:gridCol w:w="4997"/>
      </w:tblGrid>
      <w:tr>
        <w:tc>
          <w:tcPr>
            <w:tcW w:type="dxa" w:w="4997"/>
            <w:shd w:fill="FFF2CC"/>
            <w:tcBorders>
              <w:top w:val="single" w:sz="4" w:color="E6D28A"/>
              <w:left w:val="single" w:sz="4" w:color="E6D28A"/>
              <w:bottom w:val="single" w:sz="4" w:color="E6D28A"/>
              <w:right w:val="single" w:sz="4" w:color="E6D28A"/>
            </w:tcBorders>
          </w:tcPr>
          <w:p>
            <w:pPr>
              <w:spacing w:after="0"/>
            </w:pPr>
            <w:r>
              <w:rPr>
                <w:rFonts w:ascii="Aptos" w:hAnsi="Aptos"/>
                <w:b/>
                <w:color w:val="123B66"/>
                <w:sz w:val="17"/>
              </w:rPr>
              <w:t>Organization</w:t>
            </w:r>
          </w:p>
        </w:tc>
        <w:tc>
          <w:tcPr>
            <w:tcW w:type="dxa" w:w="4997"/>
            <w:shd w:fill="FFFBEF"/>
            <w:tcBorders>
              <w:top w:val="single" w:sz="4" w:color="E6D28A"/>
              <w:left w:val="single" w:sz="4" w:color="E6D28A"/>
              <w:bottom w:val="single" w:sz="4" w:color="E6D28A"/>
              <w:right w:val="single" w:sz="4" w:color="E6D28A"/>
            </w:tcBorders>
          </w:tcPr>
          <w:p>
            <w:pPr>
              <w:spacing w:after="0"/>
            </w:pPr>
            <w:r>
              <w:rPr>
                <w:rFonts w:ascii="Aptos" w:hAnsi="Aptos"/>
                <w:b w:val="0"/>
                <w:color w:val="183142"/>
                <w:sz w:val="17"/>
              </w:rPr>
              <w:t>[CLIENT LEGAL ENTITY / IKRGY ROLE TO BE CONFIRMED]</w:t>
            </w:r>
          </w:p>
        </w:tc>
      </w:tr>
      <w:tr>
        <w:tc>
          <w:tcPr>
            <w:tcW w:type="dxa" w:w="4997"/>
            <w:shd w:fill="FFF2CC"/>
            <w:tcBorders>
              <w:top w:val="single" w:sz="4" w:color="E6D28A"/>
              <w:left w:val="single" w:sz="4" w:color="E6D28A"/>
              <w:bottom w:val="single" w:sz="4" w:color="E6D28A"/>
              <w:right w:val="single" w:sz="4" w:color="E6D28A"/>
            </w:tcBorders>
          </w:tcPr>
          <w:p>
            <w:pPr>
              <w:spacing w:after="0"/>
            </w:pPr>
            <w:r>
              <w:rPr>
                <w:rFonts w:ascii="Aptos" w:hAnsi="Aptos"/>
                <w:b/>
                <w:color w:val="123B66"/>
                <w:sz w:val="17"/>
              </w:rPr>
              <w:t>Privacy contact</w:t>
            </w:r>
          </w:p>
        </w:tc>
        <w:tc>
          <w:tcPr>
            <w:tcW w:type="dxa" w:w="4997"/>
            <w:shd w:fill="FFFBEF"/>
            <w:tcBorders>
              <w:top w:val="single" w:sz="4" w:color="E6D28A"/>
              <w:left w:val="single" w:sz="4" w:color="E6D28A"/>
              <w:bottom w:val="single" w:sz="4" w:color="E6D28A"/>
              <w:right w:val="single" w:sz="4" w:color="E6D28A"/>
            </w:tcBorders>
          </w:tcPr>
          <w:p>
            <w:pPr>
              <w:spacing w:after="0"/>
            </w:pPr>
            <w:r>
              <w:rPr>
                <w:rFonts w:ascii="Aptos" w:hAnsi="Aptos"/>
                <w:b w:val="0"/>
                <w:color w:val="183142"/>
                <w:sz w:val="17"/>
              </w:rPr>
              <w:t>[EMAIL TO BE CONFIRMED]</w:t>
            </w:r>
          </w:p>
        </w:tc>
      </w:tr>
      <w:tr>
        <w:tc>
          <w:tcPr>
            <w:tcW w:type="dxa" w:w="4997"/>
            <w:shd w:fill="FFF2CC"/>
            <w:tcBorders>
              <w:top w:val="single" w:sz="4" w:color="E6D28A"/>
              <w:left w:val="single" w:sz="4" w:color="E6D28A"/>
              <w:bottom w:val="single" w:sz="4" w:color="E6D28A"/>
              <w:right w:val="single" w:sz="4" w:color="E6D28A"/>
            </w:tcBorders>
          </w:tcPr>
          <w:p>
            <w:pPr>
              <w:spacing w:after="0"/>
            </w:pPr>
            <w:r>
              <w:rPr>
                <w:rFonts w:ascii="Aptos" w:hAnsi="Aptos"/>
                <w:b/>
                <w:color w:val="123B66"/>
                <w:sz w:val="17"/>
              </w:rPr>
              <w:t>Address</w:t>
            </w:r>
          </w:p>
        </w:tc>
        <w:tc>
          <w:tcPr>
            <w:tcW w:type="dxa" w:w="4997"/>
            <w:shd w:fill="FFFBEF"/>
            <w:tcBorders>
              <w:top w:val="single" w:sz="4" w:color="E6D28A"/>
              <w:left w:val="single" w:sz="4" w:color="E6D28A"/>
              <w:bottom w:val="single" w:sz="4" w:color="E6D28A"/>
              <w:right w:val="single" w:sz="4" w:color="E6D28A"/>
            </w:tcBorders>
          </w:tcPr>
          <w:p>
            <w:pPr>
              <w:spacing w:after="0"/>
            </w:pPr>
            <w:r>
              <w:rPr>
                <w:rFonts w:ascii="Aptos" w:hAnsi="Aptos"/>
                <w:b w:val="0"/>
                <w:color w:val="183142"/>
                <w:sz w:val="17"/>
              </w:rPr>
              <w:t>[ADDRESS TO BE CONFIRMED]</w:t>
            </w:r>
          </w:p>
        </w:tc>
      </w:tr>
      <w:tr>
        <w:tc>
          <w:tcPr>
            <w:tcW w:type="dxa" w:w="4997"/>
            <w:shd w:fill="FFF2CC"/>
            <w:tcBorders>
              <w:top w:val="single" w:sz="4" w:color="E6D28A"/>
              <w:left w:val="single" w:sz="4" w:color="E6D28A"/>
              <w:bottom w:val="single" w:sz="4" w:color="E6D28A"/>
              <w:right w:val="single" w:sz="4" w:color="E6D28A"/>
            </w:tcBorders>
          </w:tcPr>
          <w:p>
            <w:pPr>
              <w:spacing w:after="0"/>
            </w:pPr>
            <w:r>
              <w:rPr>
                <w:rFonts w:ascii="Aptos" w:hAnsi="Aptos"/>
                <w:b/>
                <w:color w:val="123B66"/>
                <w:sz w:val="17"/>
              </w:rPr>
              <w:t>Data Protection Officer</w:t>
            </w:r>
          </w:p>
        </w:tc>
        <w:tc>
          <w:tcPr>
            <w:tcW w:type="dxa" w:w="4997"/>
            <w:shd w:fill="FFFBEF"/>
            <w:tcBorders>
              <w:top w:val="single" w:sz="4" w:color="E6D28A"/>
              <w:left w:val="single" w:sz="4" w:color="E6D28A"/>
              <w:bottom w:val="single" w:sz="4" w:color="E6D28A"/>
              <w:right w:val="single" w:sz="4" w:color="E6D28A"/>
            </w:tcBorders>
          </w:tcPr>
          <w:p>
            <w:pPr>
              <w:spacing w:after="0"/>
            </w:pPr>
            <w:r>
              <w:rPr>
                <w:rFonts w:ascii="Aptos" w:hAnsi="Aptos"/>
                <w:b w:val="0"/>
                <w:color w:val="183142"/>
                <w:sz w:val="17"/>
              </w:rPr>
              <w:t>[IF APPLICABLE - TO BE CONFIRMED]</w:t>
            </w:r>
          </w:p>
        </w:tc>
      </w:tr>
      <w:tr>
        <w:tc>
          <w:tcPr>
            <w:tcW w:type="dxa" w:w="4997"/>
            <w:shd w:fill="FFF2CC"/>
            <w:tcBorders>
              <w:top w:val="single" w:sz="4" w:color="E6D28A"/>
              <w:left w:val="single" w:sz="4" w:color="E6D28A"/>
              <w:bottom w:val="single" w:sz="4" w:color="E6D28A"/>
              <w:right w:val="single" w:sz="4" w:color="E6D28A"/>
            </w:tcBorders>
          </w:tcPr>
          <w:p>
            <w:pPr>
              <w:spacing w:after="0"/>
            </w:pPr>
            <w:r>
              <w:rPr>
                <w:rFonts w:ascii="Aptos" w:hAnsi="Aptos"/>
                <w:b/>
                <w:color w:val="123B66"/>
                <w:sz w:val="17"/>
              </w:rPr>
              <w:t>Effective date</w:t>
            </w:r>
          </w:p>
        </w:tc>
        <w:tc>
          <w:tcPr>
            <w:tcW w:type="dxa" w:w="4997"/>
            <w:shd w:fill="FFFBEF"/>
            <w:tcBorders>
              <w:top w:val="single" w:sz="4" w:color="E6D28A"/>
              <w:left w:val="single" w:sz="4" w:color="E6D28A"/>
              <w:bottom w:val="single" w:sz="4" w:color="E6D28A"/>
              <w:right w:val="single" w:sz="4" w:color="E6D28A"/>
            </w:tcBorders>
          </w:tcPr>
          <w:p>
            <w:pPr>
              <w:spacing w:after="0"/>
            </w:pPr>
            <w:r>
              <w:rPr>
                <w:rFonts w:ascii="Aptos" w:hAnsi="Aptos"/>
                <w:b w:val="0"/>
                <w:color w:val="183142"/>
                <w:sz w:val="17"/>
              </w:rPr>
              <w:t>[TO BE CONFIRMED]</w:t>
            </w:r>
          </w:p>
        </w:tc>
      </w:tr>
      <w:tr>
        <w:tc>
          <w:tcPr>
            <w:tcW w:type="dxa" w:w="4997"/>
            <w:shd w:fill="FFF2CC"/>
            <w:tcBorders>
              <w:top w:val="single" w:sz="4" w:color="E6D28A"/>
              <w:left w:val="single" w:sz="4" w:color="E6D28A"/>
              <w:bottom w:val="single" w:sz="4" w:color="E6D28A"/>
              <w:right w:val="single" w:sz="4" w:color="E6D28A"/>
            </w:tcBorders>
          </w:tcPr>
          <w:p>
            <w:pPr>
              <w:spacing w:after="0"/>
            </w:pPr>
            <w:r>
              <w:rPr>
                <w:rFonts w:ascii="Aptos" w:hAnsi="Aptos"/>
                <w:b/>
                <w:color w:val="123B66"/>
                <w:sz w:val="17"/>
              </w:rPr>
              <w:t>Retention schedule</w:t>
            </w:r>
          </w:p>
        </w:tc>
        <w:tc>
          <w:tcPr>
            <w:tcW w:type="dxa" w:w="4997"/>
            <w:shd w:fill="FFFBEF"/>
            <w:tcBorders>
              <w:top w:val="single" w:sz="4" w:color="E6D28A"/>
              <w:left w:val="single" w:sz="4" w:color="E6D28A"/>
              <w:bottom w:val="single" w:sz="4" w:color="E6D28A"/>
              <w:right w:val="single" w:sz="4" w:color="E6D28A"/>
            </w:tcBorders>
          </w:tcPr>
          <w:p>
            <w:pPr>
              <w:spacing w:after="0"/>
            </w:pPr>
            <w:r>
              <w:rPr>
                <w:rFonts w:ascii="Aptos" w:hAnsi="Aptos"/>
                <w:b w:val="0"/>
                <w:color w:val="183142"/>
                <w:sz w:val="17"/>
              </w:rPr>
              <w:t>[TO BE CONFIRMED]</w:t>
            </w:r>
          </w:p>
        </w:tc>
      </w:tr>
      <w:tr>
        <w:tc>
          <w:tcPr>
            <w:tcW w:type="dxa" w:w="4997"/>
            <w:shd w:fill="FFF2CC"/>
            <w:tcBorders>
              <w:top w:val="single" w:sz="4" w:color="E6D28A"/>
              <w:left w:val="single" w:sz="4" w:color="E6D28A"/>
              <w:bottom w:val="single" w:sz="4" w:color="E6D28A"/>
              <w:right w:val="single" w:sz="4" w:color="E6D28A"/>
            </w:tcBorders>
          </w:tcPr>
          <w:p>
            <w:pPr>
              <w:spacing w:after="0"/>
            </w:pPr>
            <w:r>
              <w:rPr>
                <w:rFonts w:ascii="Aptos" w:hAnsi="Aptos"/>
                <w:b/>
                <w:color w:val="123B66"/>
                <w:sz w:val="17"/>
              </w:rPr>
              <w:t>Hosting / data residency</w:t>
            </w:r>
          </w:p>
        </w:tc>
        <w:tc>
          <w:tcPr>
            <w:tcW w:type="dxa" w:w="4997"/>
            <w:shd w:fill="FFFBEF"/>
            <w:tcBorders>
              <w:top w:val="single" w:sz="4" w:color="E6D28A"/>
              <w:left w:val="single" w:sz="4" w:color="E6D28A"/>
              <w:bottom w:val="single" w:sz="4" w:color="E6D28A"/>
              <w:right w:val="single" w:sz="4" w:color="E6D28A"/>
            </w:tcBorders>
          </w:tcPr>
          <w:p>
            <w:pPr>
              <w:spacing w:after="0"/>
            </w:pPr>
            <w:r>
              <w:rPr>
                <w:rFonts w:ascii="Aptos" w:hAnsi="Aptos"/>
                <w:b w:val="0"/>
                <w:color w:val="183142"/>
                <w:sz w:val="17"/>
              </w:rPr>
              <w:t>[TO BE CONFIRMED]</w:t>
            </w:r>
          </w:p>
        </w:tc>
      </w:tr>
    </w:tbl>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A6773"/>
        <w:sz w:val="15"/>
      </w:rPr>
      <w:t>Privacy Policy  |  Draft for legal review  |  IKRGY Infotech Pvt Ltd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20" w:space="1" w:color="17A9D6"/>
      </w:pBdr>
    </w:pPr>
    <w:r>
      <w:rPr>
        <w:rFonts w:ascii="Aptos Display" w:hAnsi="Aptos Display"/>
        <w:b/>
        <w:color w:val="123B66"/>
        <w:sz w:val="20"/>
      </w:rPr>
      <w:t>IKRGY INFOTECH PVT LTD</w:t>
    </w:r>
    <w:r>
      <w:rPr>
        <w:rFonts w:ascii="Aptos" w:hAnsi="Aptos"/>
        <w:b w:val="0"/>
        <w:color w:val="5A6773"/>
        <w:sz w:val="17"/>
      </w:rPr>
      <w:t xml:space="preserve">   |   Recruiting Automation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831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B66"/>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267D6"/>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0F9D8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23B6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40"/>
    </w:pPr>
    <w:rPr>
      <w:rFonts w:ascii="Aptos" w:hAnsi="Aptos"/>
      <w:b/>
      <w:color w:val="0F9D8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