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jc w:val="left"/>
      </w:pPr>
      <w:r>
        <w:rPr>
          <w:rFonts w:ascii="Aptos Display" w:hAnsi="Aptos Display"/>
          <w:b/>
          <w:color w:val="123B66"/>
          <w:sz w:val="30"/>
        </w:rPr>
        <w:t>IKRGY INFOTECH</w:t>
      </w:r>
    </w:p>
    <w:p>
      <w:pPr>
        <w:spacing w:before="240"/>
      </w:pPr>
      <w:r>
        <w:rPr>
          <w:rFonts w:ascii="Aptos Display" w:hAnsi="Aptos Display"/>
          <w:b/>
          <w:color w:val="123B66"/>
          <w:sz w:val="60"/>
        </w:rPr>
        <w:t>Terms of Service</w:t>
      </w:r>
    </w:p>
    <w:p>
      <w:pPr>
        <w:pBdr>
          <w:bottom w:val="single" w:sz="32" w:space="1" w:color="0F9D8A"/>
        </w:pBdr>
      </w:pPr>
      <w:r>
        <w:rPr>
          <w:rFonts w:ascii="Aptos" w:hAnsi="Aptos"/>
          <w:b w:val="0"/>
          <w:color w:val="0F9D8A"/>
          <w:sz w:val="26"/>
        </w:rPr>
        <w:t>Recruiting Automation Platform</w:t>
      </w:r>
    </w:p>
    <w:tbl>
      <w:tblPr>
        <w:tblW w:type="auto" w:w="0"/>
        <w:jc w:val="left"/>
        <w:tblLayout w:type="fixed"/>
        <w:tblLook w:firstColumn="1" w:firstRow="1" w:lastColumn="0" w:lastRow="0" w:noHBand="0" w:noVBand="1" w:val="04A0"/>
      </w:tblPr>
      <w:tblGrid>
        <w:gridCol w:w="4997"/>
        <w:gridCol w:w="4997"/>
      </w:tblGrid>
      <w:tr>
        <w:tc>
          <w:tcPr>
            <w:tcW w:type="dxa" w:w="2520"/>
            <w:vAlign w:val="center"/>
            <w:tcBorders>
              <w:top w:val="single" w:sz="5" w:color="C7D7E5"/>
              <w:left w:val="single" w:sz="5" w:color="C7D7E5"/>
              <w:bottom w:val="single" w:sz="5" w:color="C7D7E5"/>
              <w:right w:val="single" w:sz="5" w:color="C7D7E5"/>
            </w:tcBorders>
            <w:shd w:fill="EAF4FB"/>
          </w:tcPr>
          <w:p>
            <w:pPr>
              <w:spacing w:after="0"/>
            </w:pPr>
            <w:r>
              <w:rPr>
                <w:rFonts w:ascii="Aptos" w:hAnsi="Aptos"/>
                <w:b/>
                <w:color w:val="123B66"/>
                <w:sz w:val="17"/>
              </w:rPr>
              <w:t>Project</w:t>
            </w:r>
          </w:p>
        </w:tc>
        <w:tc>
          <w:tcPr>
            <w:tcW w:type="dxa" w:w="6912"/>
            <w:vAlign w:val="center"/>
            <w:tcBorders>
              <w:top w:val="single" w:sz="5" w:color="C7D7E5"/>
              <w:left w:val="single" w:sz="5" w:color="C7D7E5"/>
              <w:bottom w:val="single" w:sz="5" w:color="C7D7E5"/>
              <w:right w:val="single" w:sz="5" w:color="C7D7E5"/>
            </w:tcBorders>
          </w:tcPr>
          <w:p>
            <w:pPr>
              <w:spacing w:after="0"/>
            </w:pPr>
            <w:r>
              <w:rPr>
                <w:rFonts w:ascii="Aptos" w:hAnsi="Aptos"/>
                <w:b w:val="0"/>
                <w:color w:val="183142"/>
                <w:sz w:val="17"/>
              </w:rPr>
              <w:t>Recruiting Automation Platform</w:t>
            </w:r>
          </w:p>
        </w:tc>
      </w:tr>
      <w:tr>
        <w:tc>
          <w:tcPr>
            <w:tcW w:type="dxa" w:w="2520"/>
            <w:vAlign w:val="center"/>
            <w:tcBorders>
              <w:top w:val="single" w:sz="5" w:color="C7D7E5"/>
              <w:left w:val="single" w:sz="5" w:color="C7D7E5"/>
              <w:bottom w:val="single" w:sz="5" w:color="C7D7E5"/>
              <w:right w:val="single" w:sz="5" w:color="C7D7E5"/>
            </w:tcBorders>
            <w:shd w:fill="EAF4FB"/>
          </w:tcPr>
          <w:p>
            <w:pPr>
              <w:spacing w:after="0"/>
            </w:pPr>
            <w:r>
              <w:rPr>
                <w:rFonts w:ascii="Aptos" w:hAnsi="Aptos"/>
                <w:b/>
                <w:color w:val="123B66"/>
                <w:sz w:val="17"/>
              </w:rPr>
              <w:t>Document status</w:t>
            </w:r>
          </w:p>
        </w:tc>
        <w:tc>
          <w:tcPr>
            <w:tcW w:type="dxa" w:w="6912"/>
            <w:vAlign w:val="center"/>
            <w:tcBorders>
              <w:top w:val="single" w:sz="5" w:color="C7D7E5"/>
              <w:left w:val="single" w:sz="5" w:color="C7D7E5"/>
              <w:bottom w:val="single" w:sz="5" w:color="C7D7E5"/>
              <w:right w:val="single" w:sz="5" w:color="C7D7E5"/>
            </w:tcBorders>
          </w:tcPr>
          <w:p>
            <w:pPr>
              <w:spacing w:after="0"/>
            </w:pPr>
            <w:r>
              <w:rPr>
                <w:rFonts w:ascii="Aptos" w:hAnsi="Aptos"/>
                <w:b w:val="0"/>
                <w:color w:val="183142"/>
                <w:sz w:val="17"/>
              </w:rPr>
              <w:t>Draft for legal review</w:t>
            </w:r>
          </w:p>
        </w:tc>
      </w:tr>
      <w:tr>
        <w:tc>
          <w:tcPr>
            <w:tcW w:type="dxa" w:w="2520"/>
            <w:vAlign w:val="center"/>
            <w:tcBorders>
              <w:top w:val="single" w:sz="5" w:color="C7D7E5"/>
              <w:left w:val="single" w:sz="5" w:color="C7D7E5"/>
              <w:bottom w:val="single" w:sz="5" w:color="C7D7E5"/>
              <w:right w:val="single" w:sz="5" w:color="C7D7E5"/>
            </w:tcBorders>
            <w:shd w:fill="EAF4FB"/>
          </w:tcPr>
          <w:p>
            <w:pPr>
              <w:spacing w:after="0"/>
            </w:pPr>
            <w:r>
              <w:rPr>
                <w:rFonts w:ascii="Aptos" w:hAnsi="Aptos"/>
                <w:b/>
                <w:color w:val="123B66"/>
                <w:sz w:val="17"/>
              </w:rPr>
              <w:t>Effective date</w:t>
            </w:r>
          </w:p>
        </w:tc>
        <w:tc>
          <w:tcPr>
            <w:tcW w:type="dxa" w:w="6912"/>
            <w:vAlign w:val="center"/>
            <w:tcBorders>
              <w:top w:val="single" w:sz="5" w:color="C7D7E5"/>
              <w:left w:val="single" w:sz="5" w:color="C7D7E5"/>
              <w:bottom w:val="single" w:sz="5" w:color="C7D7E5"/>
              <w:right w:val="single" w:sz="5" w:color="C7D7E5"/>
            </w:tcBorders>
          </w:tcPr>
          <w:p>
            <w:pPr>
              <w:spacing w:after="0"/>
            </w:pPr>
            <w:r>
              <w:rPr>
                <w:rFonts w:ascii="Aptos" w:hAnsi="Aptos"/>
                <w:b w:val="0"/>
                <w:color w:val="183142"/>
                <w:sz w:val="17"/>
                <w:shd w:fill="FFF2CC"/>
              </w:rPr>
              <w:t>[TO BE CONFIRMED]</w:t>
            </w:r>
          </w:p>
        </w:tc>
      </w:tr>
      <w:tr>
        <w:tc>
          <w:tcPr>
            <w:tcW w:type="dxa" w:w="2520"/>
            <w:vAlign w:val="center"/>
            <w:tcBorders>
              <w:top w:val="single" w:sz="5" w:color="C7D7E5"/>
              <w:left w:val="single" w:sz="5" w:color="C7D7E5"/>
              <w:bottom w:val="single" w:sz="5" w:color="C7D7E5"/>
              <w:right w:val="single" w:sz="5" w:color="C7D7E5"/>
            </w:tcBorders>
            <w:shd w:fill="EAF4FB"/>
          </w:tcPr>
          <w:p>
            <w:pPr>
              <w:spacing w:after="0"/>
            </w:pPr>
            <w:r>
              <w:rPr>
                <w:rFonts w:ascii="Aptos" w:hAnsi="Aptos"/>
                <w:b/>
                <w:color w:val="123B66"/>
                <w:sz w:val="17"/>
              </w:rPr>
              <w:t>Last updated</w:t>
            </w:r>
          </w:p>
        </w:tc>
        <w:tc>
          <w:tcPr>
            <w:tcW w:type="dxa" w:w="6912"/>
            <w:vAlign w:val="center"/>
            <w:tcBorders>
              <w:top w:val="single" w:sz="5" w:color="C7D7E5"/>
              <w:left w:val="single" w:sz="5" w:color="C7D7E5"/>
              <w:bottom w:val="single" w:sz="5" w:color="C7D7E5"/>
              <w:right w:val="single" w:sz="5" w:color="C7D7E5"/>
            </w:tcBorders>
          </w:tcPr>
          <w:p>
            <w:pPr>
              <w:spacing w:after="0"/>
            </w:pPr>
            <w:r>
              <w:rPr>
                <w:rFonts w:ascii="Aptos" w:hAnsi="Aptos"/>
                <w:b w:val="0"/>
                <w:color w:val="183142"/>
                <w:sz w:val="17"/>
                <w:shd w:fill="FFF2CC"/>
              </w:rPr>
              <w:t>[TO BE CONFIRMED]</w:t>
            </w:r>
          </w:p>
        </w:tc>
      </w:tr>
      <w:tr>
        <w:tc>
          <w:tcPr>
            <w:tcW w:type="dxa" w:w="2520"/>
            <w:vAlign w:val="center"/>
            <w:tcBorders>
              <w:top w:val="single" w:sz="5" w:color="C7D7E5"/>
              <w:left w:val="single" w:sz="5" w:color="C7D7E5"/>
              <w:bottom w:val="single" w:sz="5" w:color="C7D7E5"/>
              <w:right w:val="single" w:sz="5" w:color="C7D7E5"/>
            </w:tcBorders>
            <w:shd w:fill="EAF4FB"/>
          </w:tcPr>
          <w:p>
            <w:pPr>
              <w:spacing w:after="0"/>
            </w:pPr>
            <w:r>
              <w:rPr>
                <w:rFonts w:ascii="Aptos" w:hAnsi="Aptos"/>
                <w:b/>
                <w:color w:val="123B66"/>
                <w:sz w:val="17"/>
              </w:rPr>
              <w:t>Prepared for</w:t>
            </w:r>
          </w:p>
        </w:tc>
        <w:tc>
          <w:tcPr>
            <w:tcW w:type="dxa" w:w="6912"/>
            <w:vAlign w:val="center"/>
            <w:tcBorders>
              <w:top w:val="single" w:sz="5" w:color="C7D7E5"/>
              <w:left w:val="single" w:sz="5" w:color="C7D7E5"/>
              <w:bottom w:val="single" w:sz="5" w:color="C7D7E5"/>
              <w:right w:val="single" w:sz="5" w:color="C7D7E5"/>
            </w:tcBorders>
          </w:tcPr>
          <w:p>
            <w:pPr>
              <w:spacing w:after="0"/>
            </w:pPr>
            <w:r>
              <w:rPr>
                <w:rFonts w:ascii="Aptos" w:hAnsi="Aptos"/>
                <w:b w:val="0"/>
                <w:color w:val="183142"/>
                <w:sz w:val="17"/>
              </w:rPr>
              <w:t>Client / authorized users</w:t>
            </w:r>
          </w:p>
        </w:tc>
      </w:tr>
    </w:tbl>
    <w:p>
      <w:pPr>
        <w:spacing w:before="360"/>
      </w:pPr>
      <w:r>
        <w:rPr>
          <w:rFonts w:ascii="Aptos" w:hAnsi="Aptos"/>
          <w:b/>
          <w:color w:val="123B66"/>
          <w:sz w:val="18"/>
        </w:rPr>
        <w:t xml:space="preserve">Important: </w:t>
      </w:r>
      <w:r>
        <w:rPr>
          <w:rFonts w:ascii="Aptos" w:hAnsi="Aptos"/>
          <w:b w:val="0"/>
          <w:color w:val="5A6773"/>
          <w:sz w:val="18"/>
        </w:rPr>
        <w:t>This is a project-specific working draft and should be reviewed by the client's legal/privacy team before production publication.</w:t>
      </w:r>
    </w:p>
    <w:p>
      <w:r>
        <w:br w:type="page"/>
      </w:r>
    </w:p>
    <w:p>
      <w:pPr>
        <w:pStyle w:val="Heading1"/>
      </w:pPr>
      <w:r>
        <w:t>Document Control</w:t>
      </w:r>
    </w:p>
    <w:tbl>
      <w:tblPr>
        <w:tblW w:type="auto" w:w="0"/>
        <w:jc w:val="left"/>
        <w:tblLook w:firstColumn="1" w:firstRow="1" w:lastColumn="0" w:lastRow="0" w:noHBand="0" w:noVBand="1" w:val="04A0"/>
      </w:tblPr>
      <w:tblGrid>
        <w:gridCol w:w="4997"/>
        <w:gridCol w:w="4997"/>
      </w:tblGrid>
      <w:tr>
        <w:tc>
          <w:tcPr>
            <w:tcW w:type="dxa" w:w="4997"/>
            <w:shd w:fill="EEF9F7"/>
            <w:tcBorders>
              <w:top w:val="single" w:sz="4" w:color="C7D7E5"/>
              <w:left w:val="single" w:sz="4" w:color="C7D7E5"/>
              <w:bottom w:val="single" w:sz="4" w:color="C7D7E5"/>
              <w:right w:val="single" w:sz="4" w:color="C7D7E5"/>
            </w:tcBorders>
          </w:tcPr>
          <w:p>
            <w:pPr>
              <w:spacing w:after="0"/>
            </w:pPr>
            <w:r>
              <w:rPr>
                <w:rFonts w:ascii="Aptos" w:hAnsi="Aptos"/>
                <w:b/>
                <w:color w:val="123B66"/>
                <w:sz w:val="17"/>
              </w:rPr>
              <w:t>Document title</w:t>
            </w:r>
          </w:p>
        </w:tc>
        <w:tc>
          <w:tcPr>
            <w:tcW w:type="dxa" w:w="4997"/>
            <w:tcBorders>
              <w:top w:val="single" w:sz="4" w:color="C7D7E5"/>
              <w:left w:val="single" w:sz="4" w:color="C7D7E5"/>
              <w:bottom w:val="single" w:sz="4" w:color="C7D7E5"/>
              <w:right w:val="single" w:sz="4" w:color="C7D7E5"/>
            </w:tcBorders>
          </w:tcPr>
          <w:p>
            <w:pPr>
              <w:spacing w:after="0"/>
            </w:pPr>
            <w:r>
              <w:rPr>
                <w:rFonts w:ascii="Aptos" w:hAnsi="Aptos"/>
                <w:b w:val="0"/>
                <w:color w:val="183142"/>
                <w:sz w:val="17"/>
              </w:rPr>
              <w:t>IKRGY Recruiting Automation Platform - Terms of Service</w:t>
            </w:r>
          </w:p>
        </w:tc>
      </w:tr>
      <w:tr>
        <w:tc>
          <w:tcPr>
            <w:tcW w:type="dxa" w:w="4997"/>
            <w:shd w:fill="EEF9F7"/>
            <w:tcBorders>
              <w:top w:val="single" w:sz="4" w:color="C7D7E5"/>
              <w:left w:val="single" w:sz="4" w:color="C7D7E5"/>
              <w:bottom w:val="single" w:sz="4" w:color="C7D7E5"/>
              <w:right w:val="single" w:sz="4" w:color="C7D7E5"/>
            </w:tcBorders>
          </w:tcPr>
          <w:p>
            <w:pPr>
              <w:spacing w:after="0"/>
            </w:pPr>
            <w:r>
              <w:rPr>
                <w:rFonts w:ascii="Aptos" w:hAnsi="Aptos"/>
                <w:b/>
                <w:color w:val="123B66"/>
                <w:sz w:val="17"/>
              </w:rPr>
              <w:t>Platform</w:t>
            </w:r>
          </w:p>
        </w:tc>
        <w:tc>
          <w:tcPr>
            <w:tcW w:type="dxa" w:w="4997"/>
            <w:tcBorders>
              <w:top w:val="single" w:sz="4" w:color="C7D7E5"/>
              <w:left w:val="single" w:sz="4" w:color="C7D7E5"/>
              <w:bottom w:val="single" w:sz="4" w:color="C7D7E5"/>
              <w:right w:val="single" w:sz="4" w:color="C7D7E5"/>
            </w:tcBorders>
          </w:tcPr>
          <w:p>
            <w:pPr>
              <w:spacing w:after="0"/>
            </w:pPr>
            <w:r>
              <w:rPr>
                <w:rFonts w:ascii="Aptos" w:hAnsi="Aptos"/>
                <w:b w:val="0"/>
                <w:color w:val="183142"/>
                <w:sz w:val="17"/>
              </w:rPr>
              <w:t>IKRGY Recruiting Automation Platform</w:t>
            </w:r>
          </w:p>
        </w:tc>
      </w:tr>
      <w:tr>
        <w:tc>
          <w:tcPr>
            <w:tcW w:type="dxa" w:w="4997"/>
            <w:shd w:fill="EEF9F7"/>
            <w:tcBorders>
              <w:top w:val="single" w:sz="4" w:color="C7D7E5"/>
              <w:left w:val="single" w:sz="4" w:color="C7D7E5"/>
              <w:bottom w:val="single" w:sz="4" w:color="C7D7E5"/>
              <w:right w:val="single" w:sz="4" w:color="C7D7E5"/>
            </w:tcBorders>
          </w:tcPr>
          <w:p>
            <w:pPr>
              <w:spacing w:after="0"/>
            </w:pPr>
            <w:r>
              <w:rPr>
                <w:rFonts w:ascii="Aptos" w:hAnsi="Aptos"/>
                <w:b/>
                <w:color w:val="123B66"/>
                <w:sz w:val="17"/>
              </w:rPr>
              <w:t>Status</w:t>
            </w:r>
          </w:p>
        </w:tc>
        <w:tc>
          <w:tcPr>
            <w:tcW w:type="dxa" w:w="4997"/>
            <w:tcBorders>
              <w:top w:val="single" w:sz="4" w:color="C7D7E5"/>
              <w:left w:val="single" w:sz="4" w:color="C7D7E5"/>
              <w:bottom w:val="single" w:sz="4" w:color="C7D7E5"/>
              <w:right w:val="single" w:sz="4" w:color="C7D7E5"/>
            </w:tcBorders>
          </w:tcPr>
          <w:p>
            <w:pPr>
              <w:spacing w:after="0"/>
            </w:pPr>
            <w:r>
              <w:rPr>
                <w:rFonts w:ascii="Aptos" w:hAnsi="Aptos"/>
                <w:b w:val="0"/>
                <w:color w:val="183142"/>
                <w:sz w:val="17"/>
              </w:rPr>
              <w:t>Draft for legal review</w:t>
            </w:r>
          </w:p>
        </w:tc>
      </w:tr>
      <w:tr>
        <w:tc>
          <w:tcPr>
            <w:tcW w:type="dxa" w:w="4997"/>
            <w:shd w:fill="EEF9F7"/>
            <w:tcBorders>
              <w:top w:val="single" w:sz="4" w:color="C7D7E5"/>
              <w:left w:val="single" w:sz="4" w:color="C7D7E5"/>
              <w:bottom w:val="single" w:sz="4" w:color="C7D7E5"/>
              <w:right w:val="single" w:sz="4" w:color="C7D7E5"/>
            </w:tcBorders>
          </w:tcPr>
          <w:p>
            <w:pPr>
              <w:spacing w:after="0"/>
            </w:pPr>
            <w:r>
              <w:rPr>
                <w:rFonts w:ascii="Aptos" w:hAnsi="Aptos"/>
                <w:b/>
                <w:color w:val="123B66"/>
                <w:sz w:val="17"/>
              </w:rPr>
              <w:t>Companion materials</w:t>
            </w:r>
          </w:p>
        </w:tc>
        <w:tc>
          <w:tcPr>
            <w:tcW w:type="dxa" w:w="4997"/>
            <w:tcBorders>
              <w:top w:val="single" w:sz="4" w:color="C7D7E5"/>
              <w:left w:val="single" w:sz="4" w:color="C7D7E5"/>
              <w:bottom w:val="single" w:sz="4" w:color="C7D7E5"/>
              <w:right w:val="single" w:sz="4" w:color="C7D7E5"/>
            </w:tcBorders>
          </w:tcPr>
          <w:p>
            <w:pPr>
              <w:spacing w:after="0"/>
            </w:pPr>
            <w:r>
              <w:rPr>
                <w:rFonts w:ascii="Aptos" w:hAnsi="Aptos"/>
                <w:b w:val="0"/>
                <w:color w:val="183142"/>
                <w:sz w:val="17"/>
              </w:rPr>
              <w:t>RFP, Solution Design, Technical Design, Developer Implementation Guide</w:t>
            </w:r>
          </w:p>
        </w:tc>
      </w:tr>
    </w:tbl>
    <w:p>
      <w:pPr>
        <w:pStyle w:val="Heading1"/>
      </w:pPr>
      <w:r>
        <w:t>1. Purpose</w:t>
      </w:r>
    </w:p>
    <w:p>
      <w:r>
        <w:t>These Terms of Service govern authorized use of the Recruiting Automation Platform. The platform provides automation and decision-support capabilities intended to assist recruiting teams with interview rescheduling and candidate evaluation workflows.</w:t>
      </w:r>
    </w:p>
    <w:p>
      <w:r>
        <w:t>Use of the platform is also subject to any applicable commercial agreement, statement of work, Data Processing Agreement, and other executed agreements. Where an executed agreement conflicts with these Terms, the executed agreement should control.</w:t>
      </w:r>
    </w:p>
    <w:p>
      <w:pPr>
        <w:pStyle w:val="Heading1"/>
      </w:pPr>
      <w:r>
        <w:t>2. Authorized Users</w:t>
      </w:r>
    </w:p>
    <w:p>
      <w:r>
        <w:t>The platform is intended for authorized recruiters, recruiting administrators, technical administrators, and other approved client personnel. Users must access candidate, requisition, interview, system, and audit information only for legitimate business purposes within the scope of their authorization. Accounts and credentials must not be shared.</w:t>
      </w:r>
    </w:p>
    <w:p>
      <w:pPr>
        <w:pStyle w:val="Heading1"/>
      </w:pPr>
      <w:r>
        <w:t>3. Platform Functions</w:t>
      </w:r>
    </w:p>
    <w:p>
      <w:r>
        <w:t>Depending on the client's configuration and integrations, the platform may provide interview-rescheduling assistance, email interpretation, calendar availability checks, proposed scheduling changes, Greenhouse/ATS updates, candidate communication preparation, recruiter approval workflows, candidate evaluation against configured criteria, ranking, shortlist generation, recruiter alerts, workflow monitoring, audit records, and integration administration.</w:t>
      </w:r>
    </w:p>
    <w:p>
      <w:pPr>
        <w:pStyle w:val="Heading1"/>
      </w:pPr>
      <w:r>
        <w:t>4. Recruiting Decisions</w:t>
      </w:r>
    </w:p>
    <w:p>
      <w:r>
        <w:t>The platform is a recruiting automation and decision-support system. It is not intended to replace recruiter responsibility for employment decisions.</w:t>
      </w:r>
    </w:p>
    <w:p>
      <w:r>
        <w:t>Candidate ranking, AI-generated explanations, scores, recommendations, confidence values, and other automated outputs must be reviewed by authorized personnel. Under the current approved project design, the system does not make final hiring decisions or automatically advance or reject candidates.</w:t>
      </w:r>
    </w:p>
    <w:p>
      <w:pPr>
        <w:pStyle w:val="Heading1"/>
      </w:pPr>
      <w:r>
        <w:t>5. Workflow 1 - Candidate Rescheduling</w:t>
      </w:r>
    </w:p>
    <w:p>
      <w:r>
        <w:t>The Candidate Rescheduling Agent may analyze candidate communications, identify possible rescheduling requests, retrieve interview context, check approved calendars, identify alternative times, and prepare scheduling actions. The system must not knowingly move meetings blindly. Low-confidence, ambiguous, or guardrail-failing cases should be routed for recruiter review.</w:t>
      </w:r>
    </w:p>
    <w:p>
      <w:pPr>
        <w:pStyle w:val="Heading1"/>
      </w:pPr>
      <w:r>
        <w:t>6. Draft-Only and Auto-Send Modes</w:t>
      </w:r>
    </w:p>
    <w:p>
      <w:r>
        <w:t>In draft-only mode, proposed scheduling changes and communications are staged for recruiter approval before execution. An organization may later enable approved auto-send capabilities for configured high-confidence situations. The client is responsible for deciding whether and when auto-send is enabled and which requisitions, recruiters, or workflows may use it.</w:t>
      </w:r>
    </w:p>
    <w:p>
      <w:pPr>
        <w:pStyle w:val="Heading1"/>
      </w:pPr>
      <w:r>
        <w:t>7. Workflow 2 - Candidate Ranking</w:t>
      </w:r>
    </w:p>
    <w:p>
      <w:r>
        <w:t>The Candidate Ranking &amp; Recruiter Alert workflow may analyze applicants associated with a specific requisition, evaluate them using criteria configured for that requisition, and produce a ranked list or configurable Top-N shortlist. Authorized recruiters or administrators are responsible for defining and reviewing job-related ranking criteria, and recruiters remain responsible for final decisions.</w:t>
      </w:r>
    </w:p>
    <w:p>
      <w:pPr>
        <w:pStyle w:val="Heading1"/>
      </w:pPr>
      <w:r>
        <w:t>8. Appropriate Ranking Criteria</w:t>
      </w:r>
    </w:p>
    <w:p>
      <w:r>
        <w:t>Users must not intentionally configure ranking criteria based on characteristics prohibited by applicable employment, anti-discrimination, privacy, or other law. Ranking criteria should relate to genuine qualifications, skills, experience, education, domain knowledge, application responses, or other legitimate requirements of the role.</w:t>
      </w:r>
    </w:p>
    <w:p>
      <w:pPr>
        <w:pStyle w:val="Heading1"/>
      </w:pPr>
      <w:r>
        <w:t>9. AI-Generated Content</w:t>
      </w:r>
    </w:p>
    <w:p>
      <w:r>
        <w:t>AI-generated classifications, evaluations, scores, summaries, suggested scheduling actions, candidate communications, and explanations may contain errors or incomplete interpretations. Users must exercise appropriate professional judgment and review low-confidence or ambiguous results.</w:t>
      </w:r>
    </w:p>
    <w:p>
      <w:r>
        <w:t>The platform should be configured so deterministic business rules and guardrails control high-impact actions rather than relying solely on AI-generated output.</w:t>
      </w:r>
    </w:p>
    <w:p>
      <w:pPr>
        <w:pStyle w:val="Heading1"/>
      </w:pPr>
      <w:r>
        <w:t>10. Integrations</w:t>
      </w:r>
    </w:p>
    <w:p>
      <w:r>
        <w:t>The platform may integrate with services including Greenhouse, Google Calendar, Gmail, Microsoft Outlook, Slack, Anthropic, OpenAI, Zapier, and other approved technologies. The client is responsible for obtaining appropriate accounts, subscriptions, API access, permissions, and licenses for third-party systems it chooses to connect.</w:t>
      </w:r>
    </w:p>
    <w:p>
      <w:pPr>
        <w:pStyle w:val="Heading1"/>
      </w:pPr>
      <w:r>
        <w:t>11. API-First Integration</w:t>
      </w:r>
    </w:p>
    <w:p>
      <w:r>
        <w:t>Where appropriate APIs are available, the platform is designed to use those APIs. Controlled browser automation such as Playwright may be used where required functionality is unavailable through an approved API. Browser-based integrations may require additional maintenance and may be less reliable than supported APIs.</w:t>
      </w:r>
    </w:p>
    <w:p>
      <w:pPr>
        <w:pStyle w:val="Heading1"/>
      </w:pPr>
      <w:r>
        <w:t>12. Client Responsibilities</w:t>
      </w:r>
    </w:p>
    <w:p>
      <w:pPr>
        <w:pStyle w:val="ListBullet"/>
        <w:spacing w:after="40"/>
        <w:ind w:left="259" w:hanging="144"/>
      </w:pPr>
      <w:r>
        <w:rPr>
          <w:rFonts w:ascii="Aptos" w:hAnsi="Aptos"/>
          <w:b w:val="0"/>
          <w:color w:val="183142"/>
          <w:sz w:val="18"/>
        </w:rPr>
        <w:t>Provide authorized access to required systems and identify authorized users.</w:t>
      </w:r>
    </w:p>
    <w:p>
      <w:pPr>
        <w:pStyle w:val="ListBullet"/>
        <w:spacing w:after="40"/>
        <w:ind w:left="259" w:hanging="144"/>
      </w:pPr>
      <w:r>
        <w:rPr>
          <w:rFonts w:ascii="Aptos" w:hAnsi="Aptos"/>
          <w:b w:val="0"/>
          <w:color w:val="183142"/>
          <w:sz w:val="18"/>
        </w:rPr>
        <w:t>Configure recruiting rules, criteria, automation levels, and approvers.</w:t>
      </w:r>
    </w:p>
    <w:p>
      <w:pPr>
        <w:pStyle w:val="ListBullet"/>
        <w:spacing w:after="40"/>
        <w:ind w:left="259" w:hanging="144"/>
      </w:pPr>
      <w:r>
        <w:rPr>
          <w:rFonts w:ascii="Aptos" w:hAnsi="Aptos"/>
          <w:b w:val="0"/>
          <w:color w:val="183142"/>
          <w:sz w:val="18"/>
        </w:rPr>
        <w:t>Review AI-assisted outputs and maintain appropriate recruiting policies.</w:t>
      </w:r>
    </w:p>
    <w:p>
      <w:pPr>
        <w:pStyle w:val="ListBullet"/>
        <w:spacing w:after="40"/>
        <w:ind w:left="259" w:hanging="144"/>
      </w:pPr>
      <w:r>
        <w:rPr>
          <w:rFonts w:ascii="Aptos" w:hAnsi="Aptos"/>
          <w:b w:val="0"/>
          <w:color w:val="183142"/>
          <w:sz w:val="18"/>
        </w:rPr>
        <w:t>Determine applicable employment, privacy, retention, data-residency, and governance requirements.</w:t>
      </w:r>
    </w:p>
    <w:p>
      <w:pPr>
        <w:pStyle w:val="ListBullet"/>
        <w:spacing w:after="40"/>
        <w:ind w:left="259" w:hanging="144"/>
      </w:pPr>
      <w:r>
        <w:rPr>
          <w:rFonts w:ascii="Aptos" w:hAnsi="Aptos"/>
          <w:b w:val="0"/>
          <w:color w:val="183142"/>
          <w:sz w:val="18"/>
        </w:rPr>
        <w:t>Ensure that use of the platform complies with the client's contractual and legal obligations.</w:t>
      </w:r>
    </w:p>
    <w:p>
      <w:pPr>
        <w:pStyle w:val="Heading1"/>
      </w:pPr>
      <w:r>
        <w:t>13. Prohibited Use</w:t>
      </w:r>
    </w:p>
    <w:p>
      <w:pPr>
        <w:pStyle w:val="ListBullet"/>
        <w:spacing w:after="40"/>
        <w:ind w:left="259" w:hanging="144"/>
      </w:pPr>
      <w:r>
        <w:rPr>
          <w:rFonts w:ascii="Aptos" w:hAnsi="Aptos"/>
          <w:b w:val="0"/>
          <w:color w:val="183142"/>
          <w:sz w:val="18"/>
        </w:rPr>
        <w:t>Access systems or data without authorization or circumvent security controls.</w:t>
      </w:r>
    </w:p>
    <w:p>
      <w:pPr>
        <w:pStyle w:val="ListBullet"/>
        <w:spacing w:after="40"/>
        <w:ind w:left="259" w:hanging="144"/>
      </w:pPr>
      <w:r>
        <w:rPr>
          <w:rFonts w:ascii="Aptos" w:hAnsi="Aptos"/>
          <w:b w:val="0"/>
          <w:color w:val="183142"/>
          <w:sz w:val="18"/>
        </w:rPr>
        <w:t>Use the platform to make unlawful or intentionally discriminatory employment decisions.</w:t>
      </w:r>
    </w:p>
    <w:p>
      <w:pPr>
        <w:pStyle w:val="ListBullet"/>
        <w:spacing w:after="40"/>
        <w:ind w:left="259" w:hanging="144"/>
      </w:pPr>
      <w:r>
        <w:rPr>
          <w:rFonts w:ascii="Aptos" w:hAnsi="Aptos"/>
          <w:b w:val="0"/>
          <w:color w:val="183142"/>
          <w:sz w:val="18"/>
        </w:rPr>
        <w:t>Configure prohibited ranking criteria or manipulate audit records.</w:t>
      </w:r>
    </w:p>
    <w:p>
      <w:pPr>
        <w:pStyle w:val="ListBullet"/>
        <w:spacing w:after="40"/>
        <w:ind w:left="259" w:hanging="144"/>
      </w:pPr>
      <w:r>
        <w:rPr>
          <w:rFonts w:ascii="Aptos" w:hAnsi="Aptos"/>
          <w:b w:val="0"/>
          <w:color w:val="183142"/>
          <w:sz w:val="18"/>
        </w:rPr>
        <w:t>Misuse candidate information, expose credentials, or introduce malicious software/instructions.</w:t>
      </w:r>
    </w:p>
    <w:p>
      <w:pPr>
        <w:pStyle w:val="ListBullet"/>
        <w:spacing w:after="40"/>
        <w:ind w:left="259" w:hanging="144"/>
      </w:pPr>
      <w:r>
        <w:rPr>
          <w:rFonts w:ascii="Aptos" w:hAnsi="Aptos"/>
          <w:b w:val="0"/>
          <w:color w:val="183142"/>
          <w:sz w:val="18"/>
        </w:rPr>
        <w:t>Interfere with platform operation or use the platform for purposes unrelated to authorized recruiting activities.</w:t>
      </w:r>
    </w:p>
    <w:p>
      <w:pPr>
        <w:pStyle w:val="Heading1"/>
      </w:pPr>
      <w:r>
        <w:t>14. Candidate Communications</w:t>
      </w:r>
    </w:p>
    <w:p>
      <w:r>
        <w:t>Users are responsible for ensuring that communications sent to candidates are appropriate and accurate. Where candidate messages are automatically generated or sent, the system should operate only according to the configured automation mode and applicable guardrails. Communication templates and policies should be reviewed before automatic sending is enabled.</w:t>
      </w:r>
    </w:p>
    <w:p>
      <w:pPr>
        <w:pStyle w:val="Heading1"/>
      </w:pPr>
      <w:r>
        <w:t>15. Availability and Changes</w:t>
      </w:r>
    </w:p>
    <w:p>
      <w:r>
        <w:t>The platform may depend on external systems, APIs, authentication providers, AI services, cloud infrastructure, and third-party services. Temporary interruptions may occur due to maintenance, integration failures, third-party outages, API changes, browser interface changes, or other technical events. The platform may be updated to improve functionality, security, reliability, or compatibility.</w:t>
      </w:r>
    </w:p>
    <w:p>
      <w:pPr>
        <w:pStyle w:val="Heading1"/>
      </w:pPr>
      <w:r>
        <w:t>16. Audit and Monitoring</w:t>
      </w:r>
    </w:p>
    <w:p>
      <w:r>
        <w:t>Authorized activity may be logged for security, operations, compliance, debugging, and audit purposes. Audit records may include workflow events, data access, AI calls, approval actions, integration operations, and administrative changes.</w:t>
      </w:r>
    </w:p>
    <w:p>
      <w:pPr>
        <w:pStyle w:val="Heading1"/>
      </w:pPr>
      <w:r>
        <w:t>17. Security</w:t>
      </w:r>
    </w:p>
    <w:p>
      <w:r>
        <w:t>Users must comply with organizational security requirements. Suspected unauthorized access, compromised credentials, data exposure, or unusual system activity should be reported promptly through the approved incident-reporting process.</w:t>
      </w:r>
    </w:p>
    <w:p>
      <w:pPr>
        <w:pStyle w:val="Heading1"/>
      </w:pPr>
      <w:r>
        <w:t>18. Confidentiality</w:t>
      </w:r>
    </w:p>
    <w:p>
      <w:r>
        <w:t>Candidate data, recruiting criteria, requisition details, interview schedules, employment-related decisions, credentials, audit information, and proprietary platform information may be confidential and must be protected in accordance with applicable organizational policies and contractual obligations.</w:t>
      </w:r>
    </w:p>
    <w:p>
      <w:pPr>
        <w:pStyle w:val="Heading1"/>
      </w:pPr>
      <w:r>
        <w:t>19. Intellectual Property</w:t>
      </w:r>
    </w:p>
    <w:p>
      <w:r>
        <w:t>Ownership of the platform, implementation materials, configurations, custom code, client data, and related intellectual property will be governed by the executed agreement between IKRGY and the client. Project materials indicate that the platform is intended to be the client's asset, but final intellectual-property provisions must be confirmed in the signed commercial agreement.</w:t>
      </w:r>
    </w:p>
    <w:p>
      <w:pPr>
        <w:pStyle w:val="Heading1"/>
      </w:pPr>
      <w:r>
        <w:t>20. Client Data</w:t>
      </w:r>
    </w:p>
    <w:p>
      <w:r>
        <w:t>The client retains its rights in information provided to or processed through the platform, subject to the applicable contractual agreement. IKRGY should not use client recruiting data for unrelated commercial purposes unless expressly authorized.</w:t>
      </w:r>
    </w:p>
    <w:p>
      <w:pPr>
        <w:pStyle w:val="Heading1"/>
      </w:pPr>
      <w:r>
        <w:t>21. Suspension of Access</w:t>
      </w:r>
    </w:p>
    <w:p>
      <w:r>
        <w:t>Access may be restricted or suspended where reasonably necessary to address security concerns, unauthorized use, legal requirements, material violations of these Terms, or risks to candidate or client information.</w:t>
      </w:r>
    </w:p>
    <w:p>
      <w:pPr>
        <w:pStyle w:val="Heading1"/>
      </w:pPr>
      <w:r>
        <w:t>22. Disclaimers</w:t>
      </w:r>
    </w:p>
    <w:p>
      <w:r>
        <w:t>AI and automated systems are probabilistic and may produce incorrect or incomplete results. The platform is intended to assist qualified recruiting personnel and does not guarantee the suitability, future performance, employment success, or legal eligibility of any candidate. No candidate ranking should be interpreted as an independent certification of a candidate.</w:t>
      </w:r>
    </w:p>
    <w:p>
      <w:pPr>
        <w:pStyle w:val="Heading1"/>
      </w:pPr>
      <w:r>
        <w:t>23. Limitation of Liability</w:t>
      </w:r>
    </w:p>
    <w:p>
      <w:r>
        <w:t>Specific warranties, indemnities, liability caps, exclusions, and remedies should be defined in the executed contract between IKRGY and the client. Contractual liability provisions: [TO BE CONFIRMED BY LEGAL COUNSEL].</w:t>
      </w:r>
    </w:p>
    <w:p>
      <w:pPr>
        <w:pStyle w:val="Heading1"/>
      </w:pPr>
      <w:r>
        <w:t>24. Termination</w:t>
      </w:r>
    </w:p>
    <w:p>
      <w:r>
        <w:t>Account and platform access may end when the applicable subscription, services agreement, employment relationship, or authorized access ends. Data handling following termination should follow the client's approved retention policy and applicable contractual obligations.</w:t>
      </w:r>
    </w:p>
    <w:p>
      <w:pPr>
        <w:pStyle w:val="Heading1"/>
      </w:pPr>
      <w:r>
        <w:t>25. Governing Law and Dispute Resolution</w:t>
      </w:r>
    </w:p>
    <w:p>
      <w:r>
        <w:t>The governing law, jurisdiction, venue, and dispute-resolution process should match the commercial agreement between the relevant parties.</w:t>
      </w:r>
    </w:p>
    <w:p>
      <w:r>
        <w:rPr>
          <w:rFonts w:ascii="Aptos" w:hAnsi="Aptos"/>
          <w:b/>
          <w:color w:val="123B66"/>
          <w:sz w:val="20"/>
        </w:rPr>
        <w:t>Items to confirm before publication</w:t>
      </w:r>
    </w:p>
    <w:tbl>
      <w:tblPr>
        <w:tblW w:type="auto" w:w="0"/>
        <w:jc w:val="left"/>
        <w:tblLook w:firstColumn="1" w:firstRow="1" w:lastColumn="0" w:lastRow="0" w:noHBand="0" w:noVBand="1" w:val="04A0"/>
      </w:tblPr>
      <w:tblGrid>
        <w:gridCol w:w="4997"/>
        <w:gridCol w:w="4997"/>
      </w:tblGrid>
      <w:tr>
        <w:tc>
          <w:tcPr>
            <w:tcW w:type="dxa" w:w="4997"/>
            <w:shd w:fill="FFF2CC"/>
            <w:tcBorders>
              <w:top w:val="single" w:sz="4" w:color="E6D28A"/>
              <w:left w:val="single" w:sz="4" w:color="E6D28A"/>
              <w:bottom w:val="single" w:sz="4" w:color="E6D28A"/>
              <w:right w:val="single" w:sz="4" w:color="E6D28A"/>
            </w:tcBorders>
          </w:tcPr>
          <w:p>
            <w:pPr>
              <w:spacing w:after="0"/>
            </w:pPr>
            <w:r>
              <w:rPr>
                <w:rFonts w:ascii="Aptos" w:hAnsi="Aptos"/>
                <w:b/>
                <w:color w:val="123B66"/>
                <w:sz w:val="17"/>
              </w:rPr>
              <w:t>Governing law</w:t>
            </w:r>
          </w:p>
        </w:tc>
        <w:tc>
          <w:tcPr>
            <w:tcW w:type="dxa" w:w="4997"/>
            <w:shd w:fill="FFFBEF"/>
            <w:tcBorders>
              <w:top w:val="single" w:sz="4" w:color="E6D28A"/>
              <w:left w:val="single" w:sz="4" w:color="E6D28A"/>
              <w:bottom w:val="single" w:sz="4" w:color="E6D28A"/>
              <w:right w:val="single" w:sz="4" w:color="E6D28A"/>
            </w:tcBorders>
          </w:tcPr>
          <w:p>
            <w:pPr>
              <w:spacing w:after="0"/>
            </w:pPr>
            <w:r>
              <w:rPr>
                <w:rFonts w:ascii="Aptos" w:hAnsi="Aptos"/>
                <w:b w:val="0"/>
                <w:color w:val="183142"/>
                <w:sz w:val="17"/>
              </w:rPr>
              <w:t>[TO BE CONFIRMED]</w:t>
            </w:r>
          </w:p>
        </w:tc>
      </w:tr>
      <w:tr>
        <w:tc>
          <w:tcPr>
            <w:tcW w:type="dxa" w:w="4997"/>
            <w:shd w:fill="FFF2CC"/>
            <w:tcBorders>
              <w:top w:val="single" w:sz="4" w:color="E6D28A"/>
              <w:left w:val="single" w:sz="4" w:color="E6D28A"/>
              <w:bottom w:val="single" w:sz="4" w:color="E6D28A"/>
              <w:right w:val="single" w:sz="4" w:color="E6D28A"/>
            </w:tcBorders>
          </w:tcPr>
          <w:p>
            <w:pPr>
              <w:spacing w:after="0"/>
            </w:pPr>
            <w:r>
              <w:rPr>
                <w:rFonts w:ascii="Aptos" w:hAnsi="Aptos"/>
                <w:b/>
                <w:color w:val="123B66"/>
                <w:sz w:val="17"/>
              </w:rPr>
              <w:t>Jurisdiction / venue</w:t>
            </w:r>
          </w:p>
        </w:tc>
        <w:tc>
          <w:tcPr>
            <w:tcW w:type="dxa" w:w="4997"/>
            <w:shd w:fill="FFFBEF"/>
            <w:tcBorders>
              <w:top w:val="single" w:sz="4" w:color="E6D28A"/>
              <w:left w:val="single" w:sz="4" w:color="E6D28A"/>
              <w:bottom w:val="single" w:sz="4" w:color="E6D28A"/>
              <w:right w:val="single" w:sz="4" w:color="E6D28A"/>
            </w:tcBorders>
          </w:tcPr>
          <w:p>
            <w:pPr>
              <w:spacing w:after="0"/>
            </w:pPr>
            <w:r>
              <w:rPr>
                <w:rFonts w:ascii="Aptos" w:hAnsi="Aptos"/>
                <w:b w:val="0"/>
                <w:color w:val="183142"/>
                <w:sz w:val="17"/>
              </w:rPr>
              <w:t>[TO BE CONFIRMED]</w:t>
            </w:r>
          </w:p>
        </w:tc>
      </w:tr>
      <w:tr>
        <w:tc>
          <w:tcPr>
            <w:tcW w:type="dxa" w:w="4997"/>
            <w:shd w:fill="FFF2CC"/>
            <w:tcBorders>
              <w:top w:val="single" w:sz="4" w:color="E6D28A"/>
              <w:left w:val="single" w:sz="4" w:color="E6D28A"/>
              <w:bottom w:val="single" w:sz="4" w:color="E6D28A"/>
              <w:right w:val="single" w:sz="4" w:color="E6D28A"/>
            </w:tcBorders>
          </w:tcPr>
          <w:p>
            <w:pPr>
              <w:spacing w:after="0"/>
            </w:pPr>
            <w:r>
              <w:rPr>
                <w:rFonts w:ascii="Aptos" w:hAnsi="Aptos"/>
                <w:b/>
                <w:color w:val="123B66"/>
                <w:sz w:val="17"/>
              </w:rPr>
              <w:t>Dispute resolution</w:t>
            </w:r>
          </w:p>
        </w:tc>
        <w:tc>
          <w:tcPr>
            <w:tcW w:type="dxa" w:w="4997"/>
            <w:shd w:fill="FFFBEF"/>
            <w:tcBorders>
              <w:top w:val="single" w:sz="4" w:color="E6D28A"/>
              <w:left w:val="single" w:sz="4" w:color="E6D28A"/>
              <w:bottom w:val="single" w:sz="4" w:color="E6D28A"/>
              <w:right w:val="single" w:sz="4" w:color="E6D28A"/>
            </w:tcBorders>
          </w:tcPr>
          <w:p>
            <w:pPr>
              <w:spacing w:after="0"/>
            </w:pPr>
            <w:r>
              <w:rPr>
                <w:rFonts w:ascii="Aptos" w:hAnsi="Aptos"/>
                <w:b w:val="0"/>
                <w:color w:val="183142"/>
                <w:sz w:val="17"/>
              </w:rPr>
              <w:t>[TO BE CONFIRMED]</w:t>
            </w:r>
          </w:p>
        </w:tc>
      </w:tr>
    </w:tbl>
    <w:p>
      <w:pPr>
        <w:pStyle w:val="Heading1"/>
      </w:pPr>
      <w:r>
        <w:t>26. Changes to These Terms</w:t>
      </w:r>
    </w:p>
    <w:p>
      <w:r>
        <w:t>These Terms may be revised as the platform changes. Where appropriate, material changes should be communicated to authorized users or client administrators.</w:t>
      </w:r>
    </w:p>
    <w:p>
      <w:pPr>
        <w:pStyle w:val="Heading1"/>
      </w:pPr>
      <w:r>
        <w:t>27. Contact</w:t>
      </w:r>
    </w:p>
    <w:p>
      <w:r>
        <w:t>Questions concerning these Terms may be directed to the contracting organization or legal contact identified below.</w:t>
      </w:r>
    </w:p>
    <w:p>
      <w:r>
        <w:rPr>
          <w:rFonts w:ascii="Aptos" w:hAnsi="Aptos"/>
          <w:b/>
          <w:color w:val="123B66"/>
          <w:sz w:val="20"/>
        </w:rPr>
        <w:t>Items to confirm before publication</w:t>
      </w:r>
    </w:p>
    <w:tbl>
      <w:tblPr>
        <w:tblW w:type="auto" w:w="0"/>
        <w:jc w:val="left"/>
        <w:tblLook w:firstColumn="1" w:firstRow="1" w:lastColumn="0" w:lastRow="0" w:noHBand="0" w:noVBand="1" w:val="04A0"/>
      </w:tblPr>
      <w:tblGrid>
        <w:gridCol w:w="4997"/>
        <w:gridCol w:w="4997"/>
      </w:tblGrid>
      <w:tr>
        <w:tc>
          <w:tcPr>
            <w:tcW w:type="dxa" w:w="4997"/>
            <w:shd w:fill="FFF2CC"/>
            <w:tcBorders>
              <w:top w:val="single" w:sz="4" w:color="E6D28A"/>
              <w:left w:val="single" w:sz="4" w:color="E6D28A"/>
              <w:bottom w:val="single" w:sz="4" w:color="E6D28A"/>
              <w:right w:val="single" w:sz="4" w:color="E6D28A"/>
            </w:tcBorders>
          </w:tcPr>
          <w:p>
            <w:pPr>
              <w:spacing w:after="0"/>
            </w:pPr>
            <w:r>
              <w:rPr>
                <w:rFonts w:ascii="Aptos" w:hAnsi="Aptos"/>
                <w:b/>
                <w:color w:val="123B66"/>
                <w:sz w:val="17"/>
              </w:rPr>
              <w:t>Contracting entity</w:t>
            </w:r>
          </w:p>
        </w:tc>
        <w:tc>
          <w:tcPr>
            <w:tcW w:type="dxa" w:w="4997"/>
            <w:shd w:fill="FFFBEF"/>
            <w:tcBorders>
              <w:top w:val="single" w:sz="4" w:color="E6D28A"/>
              <w:left w:val="single" w:sz="4" w:color="E6D28A"/>
              <w:bottom w:val="single" w:sz="4" w:color="E6D28A"/>
              <w:right w:val="single" w:sz="4" w:color="E6D28A"/>
            </w:tcBorders>
          </w:tcPr>
          <w:p>
            <w:pPr>
              <w:spacing w:after="0"/>
            </w:pPr>
            <w:r>
              <w:rPr>
                <w:rFonts w:ascii="Aptos" w:hAnsi="Aptos"/>
                <w:b w:val="0"/>
                <w:color w:val="183142"/>
                <w:sz w:val="17"/>
              </w:rPr>
              <w:t>[IKRGY INFOTECH PVT LTD / CLIENT ENTITY - TO BE CONFIRMED]</w:t>
            </w:r>
          </w:p>
        </w:tc>
      </w:tr>
      <w:tr>
        <w:tc>
          <w:tcPr>
            <w:tcW w:type="dxa" w:w="4997"/>
            <w:shd w:fill="FFF2CC"/>
            <w:tcBorders>
              <w:top w:val="single" w:sz="4" w:color="E6D28A"/>
              <w:left w:val="single" w:sz="4" w:color="E6D28A"/>
              <w:bottom w:val="single" w:sz="4" w:color="E6D28A"/>
              <w:right w:val="single" w:sz="4" w:color="E6D28A"/>
            </w:tcBorders>
          </w:tcPr>
          <w:p>
            <w:pPr>
              <w:spacing w:after="0"/>
            </w:pPr>
            <w:r>
              <w:rPr>
                <w:rFonts w:ascii="Aptos" w:hAnsi="Aptos"/>
                <w:b/>
                <w:color w:val="123B66"/>
                <w:sz w:val="17"/>
              </w:rPr>
              <w:t>Legal contact</w:t>
            </w:r>
          </w:p>
        </w:tc>
        <w:tc>
          <w:tcPr>
            <w:tcW w:type="dxa" w:w="4997"/>
            <w:shd w:fill="FFFBEF"/>
            <w:tcBorders>
              <w:top w:val="single" w:sz="4" w:color="E6D28A"/>
              <w:left w:val="single" w:sz="4" w:color="E6D28A"/>
              <w:bottom w:val="single" w:sz="4" w:color="E6D28A"/>
              <w:right w:val="single" w:sz="4" w:color="E6D28A"/>
            </w:tcBorders>
          </w:tcPr>
          <w:p>
            <w:pPr>
              <w:spacing w:after="0"/>
            </w:pPr>
            <w:r>
              <w:rPr>
                <w:rFonts w:ascii="Aptos" w:hAnsi="Aptos"/>
                <w:b w:val="0"/>
                <w:color w:val="183142"/>
                <w:sz w:val="17"/>
              </w:rPr>
              <w:t>[EMAIL TO BE CONFIRMED]</w:t>
            </w:r>
          </w:p>
        </w:tc>
      </w:tr>
      <w:tr>
        <w:tc>
          <w:tcPr>
            <w:tcW w:type="dxa" w:w="4997"/>
            <w:shd w:fill="FFF2CC"/>
            <w:tcBorders>
              <w:top w:val="single" w:sz="4" w:color="E6D28A"/>
              <w:left w:val="single" w:sz="4" w:color="E6D28A"/>
              <w:bottom w:val="single" w:sz="4" w:color="E6D28A"/>
              <w:right w:val="single" w:sz="4" w:color="E6D28A"/>
            </w:tcBorders>
          </w:tcPr>
          <w:p>
            <w:pPr>
              <w:spacing w:after="0"/>
            </w:pPr>
            <w:r>
              <w:rPr>
                <w:rFonts w:ascii="Aptos" w:hAnsi="Aptos"/>
                <w:b/>
                <w:color w:val="123B66"/>
                <w:sz w:val="17"/>
              </w:rPr>
              <w:t>Support contact</w:t>
            </w:r>
          </w:p>
        </w:tc>
        <w:tc>
          <w:tcPr>
            <w:tcW w:type="dxa" w:w="4997"/>
            <w:shd w:fill="FFFBEF"/>
            <w:tcBorders>
              <w:top w:val="single" w:sz="4" w:color="E6D28A"/>
              <w:left w:val="single" w:sz="4" w:color="E6D28A"/>
              <w:bottom w:val="single" w:sz="4" w:color="E6D28A"/>
              <w:right w:val="single" w:sz="4" w:color="E6D28A"/>
            </w:tcBorders>
          </w:tcPr>
          <w:p>
            <w:pPr>
              <w:spacing w:after="0"/>
            </w:pPr>
            <w:r>
              <w:rPr>
                <w:rFonts w:ascii="Aptos" w:hAnsi="Aptos"/>
                <w:b w:val="0"/>
                <w:color w:val="183142"/>
                <w:sz w:val="17"/>
              </w:rPr>
              <w:t>[EMAIL TO BE CONFIRMED]</w:t>
            </w:r>
          </w:p>
        </w:tc>
      </w:tr>
      <w:tr>
        <w:tc>
          <w:tcPr>
            <w:tcW w:type="dxa" w:w="4997"/>
            <w:shd w:fill="FFF2CC"/>
            <w:tcBorders>
              <w:top w:val="single" w:sz="4" w:color="E6D28A"/>
              <w:left w:val="single" w:sz="4" w:color="E6D28A"/>
              <w:bottom w:val="single" w:sz="4" w:color="E6D28A"/>
              <w:right w:val="single" w:sz="4" w:color="E6D28A"/>
            </w:tcBorders>
          </w:tcPr>
          <w:p>
            <w:pPr>
              <w:spacing w:after="0"/>
            </w:pPr>
            <w:r>
              <w:rPr>
                <w:rFonts w:ascii="Aptos" w:hAnsi="Aptos"/>
                <w:b/>
                <w:color w:val="123B66"/>
                <w:sz w:val="17"/>
              </w:rPr>
              <w:t>Registered address</w:t>
            </w:r>
          </w:p>
        </w:tc>
        <w:tc>
          <w:tcPr>
            <w:tcW w:type="dxa" w:w="4997"/>
            <w:shd w:fill="FFFBEF"/>
            <w:tcBorders>
              <w:top w:val="single" w:sz="4" w:color="E6D28A"/>
              <w:left w:val="single" w:sz="4" w:color="E6D28A"/>
              <w:bottom w:val="single" w:sz="4" w:color="E6D28A"/>
              <w:right w:val="single" w:sz="4" w:color="E6D28A"/>
            </w:tcBorders>
          </w:tcPr>
          <w:p>
            <w:pPr>
              <w:spacing w:after="0"/>
            </w:pPr>
            <w:r>
              <w:rPr>
                <w:rFonts w:ascii="Aptos" w:hAnsi="Aptos"/>
                <w:b w:val="0"/>
                <w:color w:val="183142"/>
                <w:sz w:val="17"/>
              </w:rPr>
              <w:t>[ADDRESS TO BE CONFIRMED]</w:t>
            </w:r>
          </w:p>
        </w:tc>
      </w:tr>
      <w:tr>
        <w:tc>
          <w:tcPr>
            <w:tcW w:type="dxa" w:w="4997"/>
            <w:shd w:fill="FFF2CC"/>
            <w:tcBorders>
              <w:top w:val="single" w:sz="4" w:color="E6D28A"/>
              <w:left w:val="single" w:sz="4" w:color="E6D28A"/>
              <w:bottom w:val="single" w:sz="4" w:color="E6D28A"/>
              <w:right w:val="single" w:sz="4" w:color="E6D28A"/>
            </w:tcBorders>
          </w:tcPr>
          <w:p>
            <w:pPr>
              <w:spacing w:after="0"/>
            </w:pPr>
            <w:r>
              <w:rPr>
                <w:rFonts w:ascii="Aptos" w:hAnsi="Aptos"/>
                <w:b/>
                <w:color w:val="123B66"/>
                <w:sz w:val="17"/>
              </w:rPr>
              <w:t>Effective date</w:t>
            </w:r>
          </w:p>
        </w:tc>
        <w:tc>
          <w:tcPr>
            <w:tcW w:type="dxa" w:w="4997"/>
            <w:shd w:fill="FFFBEF"/>
            <w:tcBorders>
              <w:top w:val="single" w:sz="4" w:color="E6D28A"/>
              <w:left w:val="single" w:sz="4" w:color="E6D28A"/>
              <w:bottom w:val="single" w:sz="4" w:color="E6D28A"/>
              <w:right w:val="single" w:sz="4" w:color="E6D28A"/>
            </w:tcBorders>
          </w:tcPr>
          <w:p>
            <w:pPr>
              <w:spacing w:after="0"/>
            </w:pPr>
            <w:r>
              <w:rPr>
                <w:rFonts w:ascii="Aptos" w:hAnsi="Aptos"/>
                <w:b w:val="0"/>
                <w:color w:val="183142"/>
                <w:sz w:val="17"/>
              </w:rPr>
              <w:t>[TO BE CONFIRMED]</w:t>
            </w:r>
          </w:p>
        </w:tc>
      </w:tr>
    </w:tbl>
    <w:sectPr w:rsidR="00FC693F" w:rsidRPr="0006063C" w:rsidSect="00034616">
      <w:headerReference w:type="default" r:id="rId9"/>
      <w:footerReference w:type="default" r:id="rId10"/>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5A6773"/>
        <w:sz w:val="15"/>
      </w:rPr>
      <w:t>Terms of Service  |  Draft for legal review  |  IKRGY Infotech Pvt Ltd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20" w:space="1" w:color="17A9D6"/>
      </w:pBdr>
    </w:pPr>
    <w:r>
      <w:rPr>
        <w:rFonts w:ascii="Aptos Display" w:hAnsi="Aptos Display"/>
        <w:b/>
        <w:color w:val="123B66"/>
        <w:sz w:val="20"/>
      </w:rPr>
      <w:t>IKRGY INFOTECH PVT LTD</w:t>
    </w:r>
    <w:r>
      <w:rPr>
        <w:rFonts w:ascii="Aptos" w:hAnsi="Aptos"/>
        <w:b w:val="0"/>
        <w:color w:val="5A6773"/>
        <w:sz w:val="17"/>
      </w:rPr>
      <w:t xml:space="preserve">   |   Recruiting Automation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83142"/>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23B66"/>
      <w:sz w:val="32"/>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b/>
      <w:bCs/>
      <w:color w:val="1267D6"/>
      <w:sz w:val="23"/>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Display" w:hAnsi="Aptos Display"/>
      <w:b/>
      <w:bCs/>
      <w:color w:val="0F9D8A"/>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40"/>
      <w:contextualSpacing/>
    </w:pPr>
    <w:rPr>
      <w:rFonts w:asciiTheme="majorHAnsi" w:eastAsiaTheme="majorEastAsia" w:hAnsiTheme="majorHAnsi" w:cstheme="majorBidi" w:ascii="Aptos Display" w:hAnsi="Aptos Display"/>
      <w:b/>
      <w:color w:val="123B66"/>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Label">
    <w:name w:val="Small Label"/>
    <w:pPr>
      <w:spacing w:after="40"/>
    </w:pPr>
    <w:rPr>
      <w:rFonts w:ascii="Aptos" w:hAnsi="Aptos"/>
      <w:b/>
      <w:color w:val="0F9D8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