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6CC"/>
          <w:sz w:val="48"/>
        </w:rPr>
        <w:t>כיול מצלמה באמצעות אלגוריתמי Coreset מוכחים מתמטית</w:t>
      </w:r>
    </w:p>
    <w:p>
      <w:pPr>
        <w:jc w:val="center"/>
      </w:pPr>
      <w:r>
        <w:rPr>
          <w:color w:val="666666"/>
          <w:sz w:val="28"/>
        </w:rPr>
        <w:t>מימוש ודיוק בלמידת מכונה דיסטריבוטיבית על ניידות</w:t>
      </w:r>
    </w:p>
    <w:p/>
    <w:p>
      <w:pPr>
        <w:jc w:val="right"/>
      </w:pPr>
      <w:r>
        <w:rPr>
          <w:i/>
          <w:sz w:val="22"/>
        </w:rPr>
        <w:t>מחבר: יגאל קריגל  |  תאריך: יוני 2026</w:t>
      </w:r>
    </w:p>
    <w:p>
      <w:pPr>
        <w:pStyle w:val="Heading1"/>
        <w:jc w:val="right"/>
      </w:pPr>
      <w:r>
        <w:t>תקציר (Abstract)</w:t>
      </w:r>
    </w:p>
    <w:p>
      <w:pPr>
        <w:jc w:val="right"/>
      </w:pPr>
      <w:r>
        <w:t>מאמר זה מתאר מימוש שלם של מערכת כיול מצלמה המבוססת על אלגוריתמי Coreset מוכחים מתמטית.</w:t>
      </w:r>
    </w:p>
    <w:p/>
    <w:p>
      <w:pPr>
        <w:pStyle w:val="Heading1"/>
        <w:jc w:val="right"/>
      </w:pPr>
      <w:r>
        <w:t>1. הקדמה</w:t>
      </w:r>
    </w:p>
    <w:p>
      <w:pPr>
        <w:jc w:val="right"/>
      </w:pPr>
      <w:r>
        <w:t>ניווט בתנאי שדה דורש זיהוי מדויק של אובייקטים במרחקים גדולים עם שלושה אתגרים עיקריים.</w:t>
      </w:r>
    </w:p>
    <w:p>
      <w:pPr>
        <w:pStyle w:val="Heading1"/>
        <w:jc w:val="right"/>
      </w:pPr>
      <w:r>
        <w:t>2. סקירת ספרות</w:t>
      </w:r>
    </w:p>
    <w:p>
      <w:pPr>
        <w:jc w:val="right"/>
      </w:pPr>
      <w:r>
        <w:t>זאנג (2000) - שיטה גמישה לכיול מצלמה</w:t>
      </w:r>
    </w:p>
    <w:p>
      <w:pPr>
        <w:jc w:val="right"/>
      </w:pPr>
      <w:r>
        <w:t>Feldman et al. (2019) - Sketching for Coreset Construction</w:t>
      </w:r>
    </w:p>
    <w:p>
      <w:pPr>
        <w:pStyle w:val="Heading1"/>
        <w:jc w:val="right"/>
      </w:pPr>
      <w:r>
        <w:t>3. תוכנית המימוש</w:t>
      </w:r>
    </w:p>
    <w:p>
      <w:pPr>
        <w:jc w:val="right"/>
      </w:pPr>
      <w:r>
        <w:t>svdCompact.ts - Jacobi SVD 3x3 (80 shurות)</w:t>
      </w:r>
    </w:p>
    <w:p>
      <w:pPr>
        <w:jc w:val="right"/>
      </w:pPr>
      <w:r>
        <w:t>coresetLMS.ts - Carathéodory sampling (120 lines)</w:t>
      </w:r>
    </w:p>
    <w:p>
      <w:pPr>
        <w:jc w:val="right"/>
      </w:pPr>
      <w:r>
        <w:t>witnessICP.ts - Witness-Set ICP (150 lines)</w:t>
      </w:r>
    </w:p>
    <w:p>
      <w:pPr>
        <w:jc w:val="right"/>
      </w:pPr>
      <w:r>
        <w:t>cameraModel.ts - K matrix (200 lines)</w:t>
      </w:r>
    </w:p>
    <w:p>
      <w:pPr>
        <w:jc w:val="right"/>
      </w:pPr>
      <w:r>
        <w:t>cornerDetector.ts - Checkerboard (100 lines)</w:t>
      </w:r>
    </w:p>
    <w:p>
      <w:pPr>
        <w:pStyle w:val="Heading1"/>
        <w:jc w:val="right"/>
      </w:pPr>
      <w:r>
        <w:t>4. אלגוריתמים מתמטיים</w:t>
      </w:r>
    </w:p>
    <w:p>
      <w:pPr>
        <w:jc w:val="right"/>
      </w:pPr>
      <w:r>
        <w:t>Jacobi SVD: O(270) operations, 15+ decimal places</w:t>
      </w:r>
    </w:p>
    <w:p>
      <w:pPr>
        <w:jc w:val="right"/>
      </w:pPr>
      <w:r>
        <w:t>Carathéodory: 12-&gt;5 frames, 2.4x speedup</w:t>
      </w:r>
    </w:p>
    <w:p>
      <w:pPr>
        <w:jc w:val="right"/>
      </w:pPr>
      <w:r>
        <w:t>Witness ICP: 50 random trials, robust to noise</w:t>
      </w:r>
    </w:p>
    <w:p>
      <w:pPr>
        <w:jc w:val="right"/>
      </w:pPr>
      <w:r>
        <w:t>Zhang Method: K matrix via DLT + SVD</w:t>
      </w:r>
    </w:p>
    <w:p>
      <w:pPr>
        <w:pStyle w:val="Heading1"/>
        <w:jc w:val="right"/>
      </w:pPr>
      <w:r>
        <w:t>5. תוכנית בדיקה</w:t>
      </w:r>
    </w:p>
    <w:p>
      <w:pPr>
        <w:jc w:val="right"/>
      </w:pPr>
      <w:r>
        <w:t>84 tests total: 61 unit tests + 23 Playwright E2E tests</w:t>
      </w:r>
    </w:p>
    <w:p>
      <w:pPr>
        <w:pStyle w:val="Heading1"/>
        <w:jc w:val="right"/>
      </w:pPr>
      <w:r>
        <w:t>6. לו"ז (6 שבועות)</w:t>
      </w:r>
    </w:p>
    <w:p>
      <w:pPr>
        <w:jc w:val="right"/>
      </w:pPr>
      <w:r>
        <w:t>Weeks 1-2: SVD + Coreset + ICP (16 hours)</w:t>
      </w:r>
    </w:p>
    <w:p>
      <w:pPr>
        <w:jc w:val="right"/>
      </w:pPr>
      <w:r>
        <w:t>Week 3: Camera Model + Corners (12 hours)</w:t>
      </w:r>
    </w:p>
    <w:p>
      <w:pPr>
        <w:jc w:val="right"/>
      </w:pPr>
      <w:r>
        <w:t>Weeks 4-5: React + UI (20 hours)</w:t>
      </w:r>
    </w:p>
    <w:p>
      <w:pPr>
        <w:jc w:val="right"/>
      </w:pPr>
      <w:r>
        <w:t>Week 6: Testing + Integration (12 hours)</w:t>
      </w:r>
    </w:p>
    <w:p>
      <w:pPr>
        <w:pStyle w:val="Heading1"/>
        <w:jc w:val="right"/>
      </w:pPr>
      <w:r>
        <w:t>7. תוצאות צפויות</w:t>
      </w:r>
    </w:p>
    <w:p>
      <w:pPr>
        <w:jc w:val="right"/>
      </w:pPr>
      <w:r>
        <w:t>Reprojection error: &lt; 2.0 px</w:t>
      </w:r>
    </w:p>
    <w:p>
      <w:pPr>
        <w:jc w:val="right"/>
      </w:pPr>
      <w:r>
        <w:t>Calibration time: &lt; 2 seconds</w:t>
      </w:r>
    </w:p>
    <w:p>
      <w:pPr>
        <w:jc w:val="right"/>
      </w:pPr>
      <w:r>
        <w:t>Accuracy improvement: &gt;= 10%</w:t>
      </w:r>
    </w:p>
    <w:p>
      <w:pPr>
        <w:jc w:val="right"/>
      </w:pPr>
      <w:r>
        <w:t>Offline support: 100%</w:t>
      </w:r>
    </w:p>
    <w:p>
      <w:pPr>
        <w:jc w:val="right"/>
      </w:pPr>
      <w:r>
        <w:t>Memory: &lt; 50MB</w:t>
      </w:r>
    </w:p>
    <w:p>
      <w:pPr>
        <w:jc w:val="right"/>
      </w:pPr>
      <w:r>
        <w:t>Test coverage: 100%</w:t>
      </w:r>
    </w:p>
    <w:p>
      <w:pPr>
        <w:pStyle w:val="Heading1"/>
        <w:jc w:val="right"/>
      </w:pPr>
      <w:r>
        <w:t>8. מקורות</w:t>
      </w:r>
    </w:p>
    <w:p>
      <w:pPr>
        <w:jc w:val="right"/>
      </w:pPr>
      <w:r>
        <w:t>Feldman et al. (2019) - NeurIPS</w:t>
      </w:r>
    </w:p>
    <w:p>
      <w:pPr>
        <w:jc w:val="right"/>
      </w:pPr>
      <w:r>
        <w:t>Jubran et al. (2021) - ICCV</w:t>
      </w:r>
    </w:p>
    <w:p>
      <w:pPr>
        <w:jc w:val="right"/>
      </w:pPr>
      <w:r>
        <w:t>Zhang (2000) - IEEE TPAMI</w:t>
      </w:r>
    </w:p>
    <w:p>
      <w:pPr>
        <w:jc w:val="right"/>
      </w:pPr>
      <w:r>
        <w:t>Golub &amp; Kahan (1965) - SVD fundamentals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