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A1A2E"/>
          <w:sz w:val="40"/>
          <w:szCs w:val="40"/>
        </w:rPr>
        <w:t xml:space="preserve">THE HUMAN BODY AS A FLUID DYNAMICAL SYSTEM</w:t>
      </w:r>
    </w:p>
    <w:p>
      <w:pPr>
        <w:spacing w:after="60"/>
        <w:jc w:val="center"/>
      </w:pPr>
      <w:r>
        <w:rPr>
          <w:rFonts w:ascii="Arial" w:cs="Arial" w:eastAsia="Arial" w:hAnsi="Arial"/>
          <w:color w:val="2E75B6"/>
          <w:sz w:val="24"/>
          <w:szCs w:val="24"/>
        </w:rPr>
        <w:t xml:space="preserve">Three Circulatory Modalities: Air, Water, and Solids</w:t>
      </w:r>
    </w:p>
    <w:p>
      <w:pPr>
        <w:spacing w:after="280"/>
        <w:jc w:val="center"/>
      </w:pPr>
      <w:r>
        <w:rPr>
          <w:rFonts w:ascii="Arial" w:cs="Arial" w:eastAsia="Arial" w:hAnsi="Arial"/>
          <w:i/>
          <w:iCs/>
          <w:color w:val="5A5A5A"/>
          <w:sz w:val="20"/>
          <w:szCs w:val="20"/>
        </w:rPr>
        <w:t xml:space="preserve">Cohomological Strata of Nutrient Diffusion, Transport, and Signaling</w:t>
      </w:r>
    </w:p>
    <w:p>
      <w:pPr>
        <w:pStyle w:val="Heading1"/>
      </w:pPr>
      <w:r>
        <w:t xml:space="preserve">I. The Core Problem: Physics Shouldn’t Work Here</w:t>
      </w:r>
    </w:p>
    <w:p>
      <w:pPr>
        <w:spacing w:after="160" w:before="0" w:line="276"/>
        <w:jc w:val="both"/>
      </w:pPr>
      <w:r>
        <w:rPr>
          <w:rFonts w:ascii="Georgia" w:cs="Georgia" w:eastAsia="Georgia" w:hAnsi="Georgia"/>
          <w:color w:val="5A5A5A"/>
          <w:sz w:val="22"/>
          <w:szCs w:val="22"/>
        </w:rPr>
        <w:t xml:space="preserve">The human body must solve a distribution problem that, on its face, appears physically impossible. Consider: a cardiac output of ~5 L/min must deliver oxygen, glucose, fatty acids, amino acids, ions, and signaling molecules to roughly 37 trillion cells, each located at specific spatial coordinates within a volume of ~0.07 m³. The transport network must maintain concentration gradients against entropic dilution across length scales spanning six orders of magnitude—from the 2.5 cm aorta to 5–8 μm capillaries. The timing constraints are equally extreme: neurons require glucose delivery on millisecond-to-second timescales, yet the mean circulation time is 20–30 seconds. This document frames the body as three interlocking fluid systems—gaseous, liquid, and dissolved-solid—and examines the physics of how nutrient distribution remains both concentrated and targeted.</w:t>
      </w:r>
    </w:p>
    <w:p>
      <w:pPr>
        <w:pBdr>
          <w:bottom w:val="single" w:color="2E75B6" w:sz="4" w:space="1"/>
        </w:pBdr>
        <w:spacing w:before="200" w:after="200"/>
      </w:pPr>
    </w:p>
    <w:p>
      <w:pPr>
        <w:pStyle w:val="Heading1"/>
      </w:pPr>
      <w:r>
        <w:t xml:space="preserve">II. Three Circulatory Modalities: Architecture and Physics</w:t>
      </w:r>
    </w:p>
    <w:p>
      <w:pPr>
        <w:pStyle w:val="Heading2"/>
      </w:pPr>
      <w:r>
        <w:t xml:space="preserve">A. The Gas Exchange System (Air)</w:t>
      </w:r>
    </w:p>
    <w:p>
      <w:pPr>
        <w:spacing w:after="160" w:before="0" w:line="276"/>
        <w:jc w:val="both"/>
      </w:pPr>
      <w:r>
        <w:rPr>
          <w:rFonts w:ascii="Georgia" w:cs="Georgia" w:eastAsia="Georgia" w:hAnsi="Georgia"/>
          <w:b/>
          <w:bCs/>
          <w:color w:val="5A5A5A"/>
          <w:sz w:val="22"/>
          <w:szCs w:val="22"/>
        </w:rPr>
        <w:t xml:space="preserve">Medium: </w:t>
      </w:r>
      <w:r>
        <w:rPr>
          <w:rFonts w:ascii="Georgia" w:cs="Georgia" w:eastAsia="Georgia" w:hAnsi="Georgia"/>
          <w:color w:val="5A5A5A"/>
          <w:sz w:val="22"/>
          <w:szCs w:val="22"/>
        </w:rPr>
        <w:t xml:space="preserve">Air → alveolar gas → dissolved O₂/CO₂ in plasma and hemoglobin.</w:t>
      </w:r>
    </w:p>
    <w:p>
      <w:pPr>
        <w:spacing w:after="160" w:before="0" w:line="276"/>
        <w:jc w:val="both"/>
      </w:pPr>
      <w:r>
        <w:rPr>
          <w:rFonts w:ascii="Georgia" w:cs="Georgia" w:eastAsia="Georgia" w:hAnsi="Georgia"/>
          <w:b/>
          <w:bCs/>
          <w:color w:val="5A5A5A"/>
          <w:sz w:val="22"/>
          <w:szCs w:val="22"/>
        </w:rPr>
        <w:t xml:space="preserve">Intake volume: </w:t>
      </w:r>
      <w:r>
        <w:rPr>
          <w:rFonts w:ascii="Georgia" w:cs="Georgia" w:eastAsia="Georgia" w:hAnsi="Georgia"/>
          <w:color w:val="5A5A5A"/>
          <w:sz w:val="22"/>
          <w:szCs w:val="22"/>
        </w:rPr>
        <w:t xml:space="preserve">~6–8 L/min tidal ventilation at rest; up to 100–200 L/min at maximal exercise. Total lung capacity ~6 L. Dead space volume ~150 mL per breath (anatomical) means only ~350 mL of each 500 mL tidal breath reaches alveoli.</w:t>
      </w:r>
    </w:p>
    <w:p>
      <w:pPr>
        <w:spacing w:after="160" w:before="0" w:line="276"/>
        <w:jc w:val="both"/>
      </w:pPr>
      <w:r>
        <w:rPr>
          <w:rFonts w:ascii="Georgia" w:cs="Georgia" w:eastAsia="Georgia" w:hAnsi="Georgia"/>
          <w:b/>
          <w:bCs/>
          <w:color w:val="5A5A5A"/>
          <w:sz w:val="22"/>
          <w:szCs w:val="22"/>
        </w:rPr>
        <w:t xml:space="preserve">Exchange surface: </w:t>
      </w:r>
      <w:r>
        <w:rPr>
          <w:rFonts w:ascii="Georgia" w:cs="Georgia" w:eastAsia="Georgia" w:hAnsi="Georgia"/>
          <w:color w:val="5A5A5A"/>
          <w:sz w:val="22"/>
          <w:szCs w:val="22"/>
        </w:rPr>
        <w:t xml:space="preserve">~70 m² of alveolar surface area (roughly a tennis court), compressed into a volume of ~6 L. This is achieved through fractal branching: the trachea bifurcates ~23 times, producing ~300 million alveoli with a mean diameter of ~200 μm. The air-blood barrier is 0.2–0.5 μm thick—two cell layers (type I pneumocyte + endothelial cell) and their shared basement membrane.</w:t>
      </w:r>
    </w:p>
    <w:p>
      <w:pPr>
        <w:spacing w:after="160" w:before="0" w:line="276"/>
        <w:jc w:val="both"/>
      </w:pPr>
      <w:r>
        <w:rPr>
          <w:rFonts w:ascii="Georgia" w:cs="Georgia" w:eastAsia="Georgia" w:hAnsi="Georgia"/>
          <w:b/>
          <w:bCs/>
          <w:color w:val="5A5A5A"/>
          <w:sz w:val="22"/>
          <w:szCs w:val="22"/>
        </w:rPr>
        <w:t xml:space="preserve">Diffusion physics: </w:t>
      </w:r>
      <w:r>
        <w:rPr>
          <w:rFonts w:ascii="Georgia" w:cs="Georgia" w:eastAsia="Georgia" w:hAnsi="Georgia"/>
          <w:color w:val="5A5A5A"/>
          <w:sz w:val="22"/>
          <w:szCs w:val="22"/>
        </w:rPr>
        <w:t xml:space="preserve">O₂ crosses the barrier by simple Fickian diffusion. At rest, the transit time of a red blood cell through a pulmonary capillary is ~0.75 s, but hemoglobin saturates to 97–98% in ~0.25 s. This 3× safety margin collapses during maximal exercise as transit times drop to ~0.25 s. The partial pressure gradient driving diffusion: alveolar PO₂ ≈ 100 mmHg vs. mixed venous PO₂ ≈ 40 mmHg (ΔP ≈ 60 mmHg). CO₂ diffuses ~20× faster than O₂ due to higher solubility, despite a smaller gradient (ΔPCO₂ ≈ 6 mmHg).</w:t>
      </w:r>
    </w:p>
    <w:p>
      <w:pPr>
        <w:spacing w:after="160" w:before="0" w:line="276"/>
        <w:jc w:val="both"/>
      </w:pPr>
      <w:r>
        <w:rPr>
          <w:rFonts w:ascii="Georgia" w:cs="Georgia" w:eastAsia="Georgia" w:hAnsi="Georgia"/>
          <w:b/>
          <w:bCs/>
          <w:color w:val="5A5A5A"/>
          <w:sz w:val="22"/>
          <w:szCs w:val="22"/>
        </w:rPr>
        <w:t xml:space="preserve">Outtake: </w:t>
      </w:r>
      <w:r>
        <w:rPr>
          <w:rFonts w:ascii="Georgia" w:cs="Georgia" w:eastAsia="Georgia" w:hAnsi="Georgia"/>
          <w:color w:val="5A5A5A"/>
          <w:sz w:val="22"/>
          <w:szCs w:val="22"/>
        </w:rPr>
        <w:t xml:space="preserve">CO₂ exits via the same pathway in reverse, plus ~400 mL/day of water vapor and volatile organic compounds. The respiratory system is the only modality with a true bidirectional gas-phase exchange at the interface.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440"/>
        <w:gridCol w:w="3440"/>
      </w:tblGrid>
      <w:tr>
        <w:tc>
          <w:tcPr>
            <w:tcW w:type="dxa" w:w="3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spacing w:after="40" w:line="260"/>
            </w:pPr>
            <w:r>
              <w:rPr>
                <w:rFonts w:ascii="Georgia" w:cs="Georgia" w:eastAsia="Georgia" w:hAnsi="Georgia"/>
                <w:b/>
                <w:bCs/>
                <w:color w:val="2E75B6"/>
                <w:sz w:val="20"/>
                <w:szCs w:val="20"/>
              </w:rPr>
              <w:t xml:space="preserve">Parameter</w:t>
            </w:r>
          </w:p>
        </w:tc>
        <w:tc>
          <w:tcPr>
            <w:tcW w:type="dxa" w:w="344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spacing w:after="40" w:line="260"/>
            </w:pPr>
            <w:r>
              <w:rPr>
                <w:rFonts w:ascii="Georgia" w:cs="Georgia" w:eastAsia="Georgia" w:hAnsi="Georgia"/>
                <w:b/>
                <w:bCs/>
                <w:color w:val="2E75B6"/>
                <w:sz w:val="20"/>
                <w:szCs w:val="20"/>
              </w:rPr>
              <w:t xml:space="preserve">Rest</w:t>
            </w:r>
          </w:p>
        </w:tc>
        <w:tc>
          <w:tcPr>
            <w:tcW w:type="dxa" w:w="344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spacing w:after="40" w:line="260"/>
            </w:pPr>
            <w:r>
              <w:rPr>
                <w:rFonts w:ascii="Georgia" w:cs="Georgia" w:eastAsia="Georgia" w:hAnsi="Georgia"/>
                <w:b/>
                <w:bCs/>
                <w:color w:val="2E75B6"/>
                <w:sz w:val="20"/>
                <w:szCs w:val="20"/>
              </w:rPr>
              <w:t xml:space="preserve">Max Exercise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Minute ventilation</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6–8 L/min</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100–200 L/min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O₂ consumption (VO₂)</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250 mL/min</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3,000–6,000 mL/min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CO₂ production</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200 mL/min</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4,000–8,000 mL/min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Alveolar PO₂</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~100 mmHg</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~100–110 mmHg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Capillary transit time</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0.75 s</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0.25 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Diffusion distance</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0.2–0.5 μm</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0.2–0.5 μm</w:t>
            </w:r>
          </w:p>
        </w:tc>
      </w:tr>
    </w:tbl>
    <w:p>
      <w:pPr>
        <w:spacing w:after="100" w:before="0" w:line="276"/>
        <w:jc w:val="both"/>
      </w:pPr>
      <w:r>
        <w:rPr>
          <w:rFonts w:ascii="Georgia" w:cs="Georgia" w:eastAsia="Georgia" w:hAnsi="Georgia"/>
          <w:color w:val="5A5A5A"/>
          <w:sz w:val="22"/>
          <w:szCs w:val="22"/>
        </w:rPr>
        <w:t xml:space="preserve"/>
      </w:r>
    </w:p>
    <w:p>
      <w:pPr>
        <w:pStyle w:val="Heading2"/>
      </w:pPr>
      <w:r>
        <w:t xml:space="preserve">B. The Liquid Circulation System (Water)</w:t>
      </w:r>
    </w:p>
    <w:p>
      <w:pPr>
        <w:spacing w:after="160" w:before="0" w:line="276"/>
        <w:jc w:val="both"/>
      </w:pPr>
      <w:r>
        <w:rPr>
          <w:rFonts w:ascii="Georgia" w:cs="Georgia" w:eastAsia="Georgia" w:hAnsi="Georgia"/>
          <w:b/>
          <w:bCs/>
          <w:color w:val="5A5A5A"/>
          <w:sz w:val="22"/>
          <w:szCs w:val="22"/>
        </w:rPr>
        <w:t xml:space="preserve">Medium: </w:t>
      </w:r>
      <w:r>
        <w:rPr>
          <w:rFonts w:ascii="Georgia" w:cs="Georgia" w:eastAsia="Georgia" w:hAnsi="Georgia"/>
          <w:color w:val="5A5A5A"/>
          <w:sz w:val="22"/>
          <w:szCs w:val="22"/>
        </w:rPr>
        <w:t xml:space="preserve">Water as solvent in blood plasma (~55% of blood volume), interstitial fluid (~11 L), intracellular fluid (~28 L), and lymph (~2–3 L). Total body water: ~42 L in a 70 kg adult (60% body mass).</w:t>
      </w:r>
    </w:p>
    <w:p>
      <w:pPr>
        <w:spacing w:after="160" w:before="0" w:line="276"/>
        <w:jc w:val="both"/>
      </w:pPr>
      <w:r>
        <w:rPr>
          <w:rFonts w:ascii="Georgia" w:cs="Georgia" w:eastAsia="Georgia" w:hAnsi="Georgia"/>
          <w:b/>
          <w:bCs/>
          <w:color w:val="5A5A5A"/>
          <w:sz w:val="22"/>
          <w:szCs w:val="22"/>
        </w:rPr>
        <w:t xml:space="preserve">Intake: </w:t>
      </w:r>
      <w:r>
        <w:rPr>
          <w:rFonts w:ascii="Georgia" w:cs="Georgia" w:eastAsia="Georgia" w:hAnsi="Georgia"/>
          <w:color w:val="5A5A5A"/>
          <w:sz w:val="22"/>
          <w:szCs w:val="22"/>
        </w:rPr>
        <w:t xml:space="preserve">~2.5 L/day total water input (drinking ~1.5 L, food ~0.7 L, metabolic water ~0.3 L). Absorption primarily in the small intestine, where ~8–9 L/day is absorbed (including secretions recycled from digestive glands). The GI tract is a massive internal water recycling system.</w:t>
      </w:r>
    </w:p>
    <w:p>
      <w:pPr>
        <w:spacing w:after="160" w:before="0" w:line="276"/>
        <w:jc w:val="both"/>
      </w:pPr>
      <w:r>
        <w:rPr>
          <w:rFonts w:ascii="Georgia" w:cs="Georgia" w:eastAsia="Georgia" w:hAnsi="Georgia"/>
          <w:b/>
          <w:bCs/>
          <w:color w:val="5A5A5A"/>
          <w:sz w:val="22"/>
          <w:szCs w:val="22"/>
        </w:rPr>
        <w:t xml:space="preserve">Distribution architecture: </w:t>
      </w:r>
      <w:r>
        <w:rPr>
          <w:rFonts w:ascii="Georgia" w:cs="Georgia" w:eastAsia="Georgia" w:hAnsi="Georgia"/>
          <w:color w:val="5A5A5A"/>
          <w:sz w:val="22"/>
          <w:szCs w:val="22"/>
        </w:rPr>
        <w:t xml:space="preserve">The cardiovascular system pumps ~5 L of blood per minute at rest, meaning the entire blood volume (~5 L) circulates once per minute. But the water itself exists in three compartments separated by selectively permeable barriers: (1) intravascular (plasma, ~3 L), (2) interstitial (~11 L, the space between cells), and (3) intracellular (~28 L). Starling forces govern the flux between compartments: hydrostatic pressure pushes water out at the arterial capillary end (~35 mmHg), while oncotic pressure (from plasma proteins, mainly albumin at ~25 mmHg) pulls it back at the venous end. Net filtration: ~20 L/day exits capillaries, ~17 L reabsorbed, ~3 L returned via lymph.</w:t>
      </w:r>
    </w:p>
    <w:p>
      <w:pPr>
        <w:spacing w:after="160" w:before="0" w:line="276"/>
        <w:jc w:val="both"/>
      </w:pPr>
      <w:r>
        <w:rPr>
          <w:rFonts w:ascii="Georgia" w:cs="Georgia" w:eastAsia="Georgia" w:hAnsi="Georgia"/>
          <w:b/>
          <w:bCs/>
          <w:color w:val="5A5A5A"/>
          <w:sz w:val="22"/>
          <w:szCs w:val="22"/>
        </w:rPr>
        <w:t xml:space="preserve">The hydraulic paradox: </w:t>
      </w:r>
      <w:r>
        <w:rPr>
          <w:rFonts w:ascii="Georgia" w:cs="Georgia" w:eastAsia="Georgia" w:hAnsi="Georgia"/>
          <w:color w:val="5A5A5A"/>
          <w:sz w:val="22"/>
          <w:szCs w:val="22"/>
        </w:rPr>
        <w:t xml:space="preserve">Water must simultaneously serve as the bulk transport medium AND be precisely distributed itself. The kidney filters 180 L/day of plasma (the entire plasma volume 60× over), reabsorbing 99% to produce only ~1.5 L of urine. This is the body’s primary water-gauge regulator, controlled by antidiuretic hormone (ADH) with sensitivity to plasma osmolality changes as small as 1–2%.</w:t>
      </w:r>
    </w:p>
    <w:p>
      <w:pPr>
        <w:spacing w:after="160" w:before="0" w:line="276"/>
        <w:jc w:val="both"/>
      </w:pPr>
      <w:r>
        <w:rPr>
          <w:rFonts w:ascii="Georgia" w:cs="Georgia" w:eastAsia="Georgia" w:hAnsi="Georgia"/>
          <w:b/>
          <w:bCs/>
          <w:color w:val="5A5A5A"/>
          <w:sz w:val="22"/>
          <w:szCs w:val="22"/>
        </w:rPr>
        <w:t xml:space="preserve">Outtake: </w:t>
      </w:r>
      <w:r>
        <w:rPr>
          <w:rFonts w:ascii="Georgia" w:cs="Georgia" w:eastAsia="Georgia" w:hAnsi="Georgia"/>
          <w:color w:val="5A5A5A"/>
          <w:sz w:val="22"/>
          <w:szCs w:val="22"/>
        </w:rPr>
        <w:t xml:space="preserve">~2.5 L/day: urine (~1.5 L), insensible losses via skin and lungs (~0.9 L), feces (~0.1 L). Sweat can add 0.5–2 L/hr during heavy exercise, creating acute redistribution demands.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3680"/>
      </w:tblGrid>
      <w:tr>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spacing w:after="40" w:line="260"/>
            </w:pPr>
            <w:r>
              <w:rPr>
                <w:rFonts w:ascii="Georgia" w:cs="Georgia" w:eastAsia="Georgia" w:hAnsi="Georgia"/>
                <w:b/>
                <w:bCs/>
                <w:color w:val="3498DB"/>
                <w:sz w:val="20"/>
                <w:szCs w:val="20"/>
              </w:rPr>
              <w:t xml:space="preserve">Compartment</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spacing w:after="40" w:line="260"/>
            </w:pPr>
            <w:r>
              <w:rPr>
                <w:rFonts w:ascii="Georgia" w:cs="Georgia" w:eastAsia="Georgia" w:hAnsi="Georgia"/>
                <w:b/>
                <w:bCs/>
                <w:color w:val="3498DB"/>
                <w:sz w:val="20"/>
                <w:szCs w:val="20"/>
              </w:rPr>
              <w:t xml:space="preserve">Volume</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spacing w:after="40" w:line="260"/>
            </w:pPr>
            <w:r>
              <w:rPr>
                <w:rFonts w:ascii="Georgia" w:cs="Georgia" w:eastAsia="Georgia" w:hAnsi="Georgia"/>
                <w:b/>
                <w:bCs/>
                <w:color w:val="3498DB"/>
                <w:sz w:val="20"/>
                <w:szCs w:val="20"/>
              </w:rPr>
              <w:t xml:space="preserve">% Body Water</w:t>
            </w:r>
          </w:p>
        </w:tc>
        <w:tc>
          <w:tcPr>
            <w:tcW w:type="dxa" w:w="36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spacing w:after="40" w:line="260"/>
            </w:pPr>
            <w:r>
              <w:rPr>
                <w:rFonts w:ascii="Georgia" w:cs="Georgia" w:eastAsia="Georgia" w:hAnsi="Georgia"/>
                <w:b/>
                <w:bCs/>
                <w:color w:val="3498DB"/>
                <w:sz w:val="20"/>
                <w:szCs w:val="20"/>
              </w:rPr>
              <w:t xml:space="preserve">Barrier / Regulation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Intracellular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~28 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67%</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Cell membrane; Na⁺/K⁺-ATPase pump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Interstitial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~11 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26%</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Capillary wall; Starling forces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Plasma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~3 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7%</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Vessel endothelium; albumin oncotic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Transcellular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~1 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≤2%</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CSF, synovial, intraocular fluids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Lymph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~2–3 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~5–7%</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Lymphatic valves; thoracic duct return</w:t>
            </w:r>
          </w:p>
        </w:tc>
      </w:tr>
    </w:tbl>
    <w:p>
      <w:pPr>
        <w:spacing w:after="100" w:before="0" w:line="276"/>
        <w:jc w:val="both"/>
      </w:pPr>
      <w:r>
        <w:rPr>
          <w:rFonts w:ascii="Georgia" w:cs="Georgia" w:eastAsia="Georgia" w:hAnsi="Georgia"/>
          <w:color w:val="5A5A5A"/>
          <w:sz w:val="22"/>
          <w:szCs w:val="22"/>
        </w:rPr>
        <w:t xml:space="preserve"/>
      </w:r>
    </w:p>
    <w:p>
      <w:pPr>
        <w:pStyle w:val="Heading2"/>
      </w:pPr>
      <w:r>
        <w:t xml:space="preserve">C. The Dissolved-Solid Distribution System (Nutrients)</w:t>
      </w:r>
    </w:p>
    <w:p>
      <w:pPr>
        <w:spacing w:after="160" w:before="0" w:line="276"/>
        <w:jc w:val="both"/>
      </w:pPr>
      <w:r>
        <w:rPr>
          <w:rFonts w:ascii="Georgia" w:cs="Georgia" w:eastAsia="Georgia" w:hAnsi="Georgia"/>
          <w:b/>
          <w:bCs/>
          <w:color w:val="5A5A5A"/>
          <w:sz w:val="22"/>
          <w:szCs w:val="22"/>
        </w:rPr>
        <w:t xml:space="preserve">Medium: </w:t>
      </w:r>
      <w:r>
        <w:rPr>
          <w:rFonts w:ascii="Georgia" w:cs="Georgia" w:eastAsia="Georgia" w:hAnsi="Georgia"/>
          <w:color w:val="5A5A5A"/>
          <w:sz w:val="22"/>
          <w:szCs w:val="22"/>
        </w:rPr>
        <w:t xml:space="preserve">Glucose, fatty acids, amino acids, vitamins, minerals, and signaling molecules dissolved or suspended in plasma and interstitial fluid. These are transported AS CARGO within the liquid system but have their own distinct distribution physics.</w:t>
      </w:r>
    </w:p>
    <w:p>
      <w:pPr>
        <w:spacing w:after="160" w:before="0" w:line="276"/>
        <w:jc w:val="both"/>
      </w:pPr>
      <w:r>
        <w:rPr>
          <w:rFonts w:ascii="Georgia" w:cs="Georgia" w:eastAsia="Georgia" w:hAnsi="Georgia"/>
          <w:b/>
          <w:bCs/>
          <w:color w:val="5A5A5A"/>
          <w:sz w:val="22"/>
          <w:szCs w:val="22"/>
        </w:rPr>
        <w:t xml:space="preserve">Intake and processing: </w:t>
      </w:r>
      <w:r>
        <w:rPr>
          <w:rFonts w:ascii="Georgia" w:cs="Georgia" w:eastAsia="Georgia" w:hAnsi="Georgia"/>
          <w:color w:val="5A5A5A"/>
          <w:sz w:val="22"/>
          <w:szCs w:val="22"/>
        </w:rPr>
        <w:t xml:space="preserve">~2,000–2,500 kcal/day for a typical adult. Carbohydrates (→ glucose, ~4 kcal/g) absorbed in ~30–60 min; proteins (→ amino acids, ~4 kcal/g) in 2–4 hrs; fats (→ fatty acids + glycerol, ~9 kcal/g) in 4–6 hrs. The portal circulation routes all water-soluble nutrients through the liver FIRST—a critical topological constraint. Fats bypass this via lymphatic chylomicron transport to the thoracic duct, entering the bloodstream at the subclavian vein.</w:t>
      </w:r>
    </w:p>
    <w:p>
      <w:pPr>
        <w:spacing w:after="160" w:before="0" w:line="276"/>
        <w:jc w:val="both"/>
      </w:pPr>
      <w:r>
        <w:rPr>
          <w:rFonts w:ascii="Georgia" w:cs="Georgia" w:eastAsia="Georgia" w:hAnsi="Georgia"/>
          <w:b/>
          <w:bCs/>
          <w:color w:val="5A5A5A"/>
          <w:sz w:val="22"/>
          <w:szCs w:val="22"/>
        </w:rPr>
        <w:t xml:space="preserve">The anti-dilution problem: </w:t>
      </w:r>
      <w:r>
        <w:rPr>
          <w:rFonts w:ascii="Georgia" w:cs="Georgia" w:eastAsia="Georgia" w:hAnsi="Georgia"/>
          <w:color w:val="5A5A5A"/>
          <w:sz w:val="22"/>
          <w:szCs w:val="22"/>
        </w:rPr>
        <w:t xml:space="preserve">Blood glucose is maintained at 4–6 mmol/L (~70–110 mg/dL) despite enormous intake fluctuations. The total circulating glucose at any moment is only ~4–5 grams—less than a teaspoon. The brain alone consumes ~120 g/day. This means the entire circulating glucose pool turns over ~25–30×/day. Concentration is maintained not by preventing dilution but by continuous regulated input from liver glycogenolysis (breakdown of ~100 g glycogen store) and gluconeogenesis, balanced against tissue uptake controlled by insulin-mediated GLUT4 transporter translocation.</w:t>
      </w:r>
    </w:p>
    <w:p>
      <w:pPr>
        <w:spacing w:after="160" w:before="0" w:line="276"/>
        <w:jc w:val="both"/>
      </w:pPr>
      <w:r>
        <w:rPr>
          <w:rFonts w:ascii="Georgia" w:cs="Georgia" w:eastAsia="Georgia" w:hAnsi="Georgia"/>
          <w:b/>
          <w:bCs/>
          <w:color w:val="5A5A5A"/>
          <w:sz w:val="22"/>
          <w:szCs w:val="22"/>
        </w:rPr>
        <w:t xml:space="preserve">Outtake: </w:t>
      </w:r>
      <w:r>
        <w:rPr>
          <w:rFonts w:ascii="Georgia" w:cs="Georgia" w:eastAsia="Georgia" w:hAnsi="Georgia"/>
          <w:color w:val="5A5A5A"/>
          <w:sz w:val="22"/>
          <w:szCs w:val="22"/>
        </w:rPr>
        <w:t xml:space="preserve">CO₂ (the oxidative end-product of ~200–250 g/day of substrate), urea (~25–30 g/day from protein catabolism), creatinine, bilirubin. Minimal fecal nutrient loss (~5% of intake in healthy adults). The system is remarkably closed for solids compared to water and air.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3280"/>
      </w:tblGrid>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spacing w:after="40" w:line="260"/>
            </w:pPr>
            <w:r>
              <w:rPr>
                <w:rFonts w:ascii="Georgia" w:cs="Georgia" w:eastAsia="Georgia" w:hAnsi="Georgia"/>
                <w:b/>
                <w:bCs/>
                <w:color w:val="E67E22"/>
                <w:sz w:val="20"/>
                <w:szCs w:val="20"/>
              </w:rPr>
              <w:t xml:space="preserve">Nutrient</w:t>
            </w:r>
          </w:p>
        </w:tc>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spacing w:after="40" w:line="260"/>
            </w:pPr>
            <w:r>
              <w:rPr>
                <w:rFonts w:ascii="Georgia" w:cs="Georgia" w:eastAsia="Georgia" w:hAnsi="Georgia"/>
                <w:b/>
                <w:bCs/>
                <w:color w:val="E67E22"/>
                <w:sz w:val="20"/>
                <w:szCs w:val="20"/>
              </w:rPr>
              <w:t xml:space="preserve">Plasma Conc.</w:t>
            </w:r>
          </w:p>
        </w:tc>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spacing w:after="40" w:line="260"/>
            </w:pPr>
            <w:r>
              <w:rPr>
                <w:rFonts w:ascii="Georgia" w:cs="Georgia" w:eastAsia="Georgia" w:hAnsi="Georgia"/>
                <w:b/>
                <w:bCs/>
                <w:color w:val="E67E22"/>
                <w:sz w:val="20"/>
                <w:szCs w:val="20"/>
              </w:rPr>
              <w:t xml:space="preserve">Daily Flux</w:t>
            </w:r>
          </w:p>
        </w:tc>
        <w:tc>
          <w:tcPr>
            <w:tcW w:type="dxa" w:w="32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spacing w:after="40" w:line="260"/>
            </w:pPr>
            <w:r>
              <w:rPr>
                <w:rFonts w:ascii="Georgia" w:cs="Georgia" w:eastAsia="Georgia" w:hAnsi="Georgia"/>
                <w:b/>
                <w:bCs/>
                <w:color w:val="E67E22"/>
                <w:sz w:val="20"/>
                <w:szCs w:val="20"/>
              </w:rPr>
              <w:t xml:space="preserve">Turnover / Regulation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Glucose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4–6 mmol/L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~200–250 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Pool turns over 25–30×/day; insulin/glucagon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Free fatty acids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0.2–0.8 mmol/L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~100–150 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Albumin-bound; lipolysis regulated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Amino acids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2–4 mmol/L (total)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~70–100 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Liver first-pass; tissue-specific uptake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O₂ (dissolved)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0.3 mL/dL plasma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~500 L/day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Hb carries 98.5%; dissolved is &lt;2%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Na⁺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135–145 mmol/L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Tightly regulated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Aldosterone / kidney; &lt;1% variation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Ca²⁺</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2.2–2.6 mmol/L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~1 g absorbed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PTH / vitamin D / calcitonin axis</w:t>
            </w:r>
          </w:p>
        </w:tc>
      </w:tr>
    </w:tbl>
    <w:p>
      <w:r>
        <w:br w:type="page"/>
      </w:r>
    </w:p>
    <w:p>
      <w:pPr>
        <w:pBdr>
          <w:bottom w:val="single" w:color="2E75B6" w:sz="4" w:space="1"/>
        </w:pBdr>
        <w:spacing w:before="200" w:after="200"/>
      </w:pPr>
    </w:p>
    <w:p>
      <w:pPr>
        <w:pStyle w:val="Heading1"/>
      </w:pPr>
      <w:r>
        <w:t xml:space="preserve">III. Capillary Architecture: Tissue-Specific Designs</w:t>
      </w:r>
    </w:p>
    <w:p>
      <w:pPr>
        <w:spacing w:after="160" w:before="0" w:line="276"/>
        <w:jc w:val="both"/>
      </w:pPr>
      <w:r>
        <w:rPr>
          <w:rFonts w:ascii="Georgia" w:cs="Georgia" w:eastAsia="Georgia" w:hAnsi="Georgia"/>
          <w:color w:val="5A5A5A"/>
          <w:sz w:val="22"/>
          <w:szCs w:val="22"/>
        </w:rPr>
        <w:t xml:space="preserve">Capillaries are not uniform tubes. They come in three structural types, each representing a different solution to the permeability–selectivity tradeoff: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100"/>
        <w:gridCol w:w="1800"/>
        <w:gridCol w:w="2280"/>
      </w:tblGrid>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Type</w:t>
            </w:r>
          </w:p>
        </w:tc>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Structure</w:t>
            </w:r>
          </w:p>
        </w:tc>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Tissues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Pore Size</w:t>
            </w:r>
          </w:p>
        </w:tc>
        <w:tc>
          <w:tcPr>
            <w:tcW w:type="dxa" w:w="2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Function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Continuous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Tight junctions; no gaps; complete basement membrane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Brain, muscle, lung, skin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~6–7 nm clefts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Maximum selectivity; BBB restricts 98% of small molecules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Fenestrated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60–80 nm pores with diaphragms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Kidney glomeruli, GI villi, endocrine glands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60–80 nm</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Rapid filtration / secretion; diaphragm retains proteins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Sinusoidal (discontinuous)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Large gaps 100–1000 nm; incomplete basement membrane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Liver, spleen, bone marrow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100–1000 nm</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Whole-cell passage; liver processes all portal blood</w:t>
            </w:r>
          </w:p>
        </w:tc>
      </w:tr>
    </w:tbl>
    <w:p>
      <w:pPr>
        <w:spacing w:after="60" w:before="0" w:line="276"/>
        <w:jc w:val="both"/>
      </w:pPr>
      <w:r>
        <w:rPr>
          <w:rFonts w:ascii="Georgia" w:cs="Georgia" w:eastAsia="Georgia" w:hAnsi="Georgia"/>
          <w:color w:val="5A5A5A"/>
          <w:sz w:val="22"/>
          <w:szCs w:val="22"/>
        </w:rPr>
        <w:t xml:space="preserve"/>
      </w:r>
    </w:p>
    <w:p>
      <w:pPr>
        <w:pStyle w:val="Heading3"/>
      </w:pPr>
      <w:r>
        <w:t xml:space="preserve">Brain vs. Muscle: A Study in Architectural Tradeoffs</w:t>
      </w:r>
    </w:p>
    <w:p>
      <w:pPr>
        <w:spacing w:after="160" w:before="0" w:line="276"/>
        <w:jc w:val="both"/>
      </w:pPr>
      <w:r>
        <w:rPr>
          <w:rFonts w:ascii="Georgia" w:cs="Georgia" w:eastAsia="Georgia" w:hAnsi="Georgia"/>
          <w:b/>
          <w:bCs/>
          <w:color w:val="5A5A5A"/>
          <w:sz w:val="22"/>
          <w:szCs w:val="22"/>
        </w:rPr>
        <w:t xml:space="preserve">Brain capillaries: </w:t>
      </w:r>
      <w:r>
        <w:rPr>
          <w:rFonts w:ascii="Georgia" w:cs="Georgia" w:eastAsia="Georgia" w:hAnsi="Georgia"/>
          <w:color w:val="5A5A5A"/>
          <w:sz w:val="22"/>
          <w:szCs w:val="22"/>
        </w:rPr>
        <w:t xml:space="preserve">Continuous type with the blood-brain barrier (BBB). Endothelial cells are sealed by tight junctions with transendothelial electrical resistance of ~1,500–2,000 Ω·cm² (vs. ~2–20 Ω·cm² in peripheral capillaries). Capillary density: ~600 m of capillaries per cm³ of cortical tissue. Inter-capillary distance: ~40 μm, meaning no neuron is more than ~20 μm from a capillary. Glucose crosses via GLUT1 transporters (carrier-mediated, not diffusion). O₂ diffuses freely. Fatty acids largely blocked; brain relies on glucose for ~95% of energy and ketones during starvation.</w:t>
      </w:r>
    </w:p>
    <w:p>
      <w:pPr>
        <w:spacing w:after="160" w:before="0" w:line="276"/>
        <w:jc w:val="both"/>
      </w:pPr>
      <w:r>
        <w:rPr>
          <w:rFonts w:ascii="Georgia" w:cs="Georgia" w:eastAsia="Georgia" w:hAnsi="Georgia"/>
          <w:b/>
          <w:bCs/>
          <w:color w:val="5A5A5A"/>
          <w:sz w:val="22"/>
          <w:szCs w:val="22"/>
        </w:rPr>
        <w:t xml:space="preserve">Muscle capillaries: </w:t>
      </w:r>
      <w:r>
        <w:rPr>
          <w:rFonts w:ascii="Georgia" w:cs="Georgia" w:eastAsia="Georgia" w:hAnsi="Georgia"/>
          <w:color w:val="5A5A5A"/>
          <w:sz w:val="22"/>
          <w:szCs w:val="22"/>
        </w:rPr>
        <w:t xml:space="preserve">Continuous type but with larger intercellular clefts. Capillary density varies enormously: slow-twitch oxidative fibers (type I) have ~800–1,000 capillaries/mm², while fast-twitch glycolytic fibers (type IIx) have ~300–400/mm². During exercise, capillary recruitment opens pre-capillary sphincters: at rest, only ~25–30% of muscle capillaries are perfused; at max exercise, near 100% open, increasing effective exchange surface 3–4×. Muscle can use glucose, fatty acids, and amino acids flexibly—a metabolic omnivory the brain lacks.</w:t>
      </w:r>
    </w:p>
    <w:p>
      <w:pPr>
        <w:pBdr>
          <w:bottom w:val="single" w:color="2E75B6" w:sz="4" w:space="1"/>
        </w:pBdr>
        <w:spacing w:before="200" w:after="200"/>
      </w:pPr>
    </w:p>
    <w:p>
      <w:pPr>
        <w:pStyle w:val="Heading1"/>
      </w:pPr>
      <w:r>
        <w:t xml:space="preserve">IV. How Tissues Signal for Blood Flow: The Timing Problem</w:t>
      </w:r>
    </w:p>
    <w:p>
      <w:pPr>
        <w:spacing w:after="160" w:before="0" w:line="276"/>
        <w:jc w:val="both"/>
      </w:pPr>
      <w:r>
        <w:rPr>
          <w:rFonts w:ascii="Georgia" w:cs="Georgia" w:eastAsia="Georgia" w:hAnsi="Georgia"/>
          <w:color w:val="5A5A5A"/>
          <w:sz w:val="22"/>
          <w:szCs w:val="22"/>
        </w:rPr>
        <w:t xml:space="preserve">Here is where the physics gets genuinely surprising. When a muscle fiber fires, its metabolic demand increases 50–100× within seconds. Blood flow to active skeletal muscle can increase from ~3–4 mL/min/100g at rest to 80–100 mL/min/100g at peak—a 25–30× increase. The question is: how can a hydraulic redistribution of this magnitude happen fast enough?</w:t>
      </w:r>
    </w:p>
    <w:p>
      <w:pPr>
        <w:pStyle w:val="Heading3"/>
      </w:pPr>
      <w:r>
        <w:t xml:space="preserve">The Multi-Scale Signaling Cascade</w:t>
      </w:r>
    </w:p>
    <w:p>
      <w:pPr>
        <w:spacing w:after="160" w:before="0" w:line="276"/>
        <w:jc w:val="both"/>
      </w:pPr>
      <w:r>
        <w:rPr>
          <w:rFonts w:ascii="Georgia" w:cs="Georgia" w:eastAsia="Georgia" w:hAnsi="Georgia"/>
          <w:b/>
          <w:bCs/>
          <w:color w:val="2E75B6"/>
          <w:sz w:val="22"/>
          <w:szCs w:val="22"/>
        </w:rPr>
        <w:t xml:space="preserve">Stratum 0 — Local metabolic (≤1 second): </w:t>
      </w:r>
      <w:r>
        <w:rPr>
          <w:rFonts w:ascii="Georgia" w:cs="Georgia" w:eastAsia="Georgia" w:hAnsi="Georgia"/>
          <w:color w:val="5A5A5A"/>
          <w:sz w:val="22"/>
          <w:szCs w:val="22"/>
        </w:rPr>
        <w:t xml:space="preserve">Active muscle immediately releases K⁺, H⁺, adenosine, CO₂, lactate, and drops local PO₂. These act directly on arteriolar smooth muscle, causing vasodilation within 0.5–1 s. This is purely chemical diffusion over distances of 10–100 μm (arteriole-to-fiber). At this scale, diffusion is fast: Fick’s law gives t ≈ x²/2D; for a 50 μm distance and D ≈ 10⁻⁹ m²/s, t ≈ 1.25 ms. The physics works here.</w:t>
      </w:r>
    </w:p>
    <w:p>
      <w:pPr>
        <w:spacing w:after="160" w:before="0" w:line="276"/>
        <w:jc w:val="both"/>
      </w:pPr>
      <w:r>
        <w:rPr>
          <w:rFonts w:ascii="Georgia" w:cs="Georgia" w:eastAsia="Georgia" w:hAnsi="Georgia"/>
          <w:b/>
          <w:bCs/>
          <w:color w:val="2E75B6"/>
          <w:sz w:val="22"/>
          <w:szCs w:val="22"/>
        </w:rPr>
        <w:t xml:space="preserve">Stratum 1 — Endothelial conducted response (1–3 seconds): </w:t>
      </w:r>
      <w:r>
        <w:rPr>
          <w:rFonts w:ascii="Georgia" w:cs="Georgia" w:eastAsia="Georgia" w:hAnsi="Georgia"/>
          <w:color w:val="5A5A5A"/>
          <w:sz w:val="22"/>
          <w:szCs w:val="22"/>
        </w:rPr>
        <w:t xml:space="preserve">Vasodilation propagates UPSTREAM along the vessel wall via gap junctions between endothelial cells at ~2 mm/s. This is an electrical signal (hyperpolarization), not chemical diffusion—which solves the speed problem for distances of 1–10 mm. A capillary sensing low O₂ can signal its upstream arteriole to dilate within 1–2 seconds. This conducted vasodilation was experimentally confirmed by Segal and Duling (1986): the endothelium functions as a signaling wire.</w:t>
      </w:r>
    </w:p>
    <w:p>
      <w:pPr>
        <w:spacing w:after="160" w:before="0" w:line="276"/>
        <w:jc w:val="both"/>
      </w:pPr>
      <w:r>
        <w:rPr>
          <w:rFonts w:ascii="Georgia" w:cs="Georgia" w:eastAsia="Georgia" w:hAnsi="Georgia"/>
          <w:b/>
          <w:bCs/>
          <w:color w:val="2E75B6"/>
          <w:sz w:val="22"/>
          <w:szCs w:val="22"/>
        </w:rPr>
        <w:t xml:space="preserve">Stratum 2 — Sympathetic / neural (2–10 seconds): </w:t>
      </w:r>
      <w:r>
        <w:rPr>
          <w:rFonts w:ascii="Georgia" w:cs="Georgia" w:eastAsia="Georgia" w:hAnsi="Georgia"/>
          <w:color w:val="5A5A5A"/>
          <w:sz w:val="22"/>
          <w:szCs w:val="22"/>
        </w:rPr>
        <w:t xml:space="preserve">The sympathetic nervous system withdraws vasoconstrictor tone from active muscle beds (functional sympatholysis) while maintaining or increasing tone in inactive regions. Nerve conduction velocity in sympathetic fibers: ~1–2 m/s, giving response times of 2–10 s for systemic redistribution. This is where the body solves the pressure-volume problem: total blood volume is fixed at ~5 L, so increasing flow to muscle by 15–20 L/min during maximal exercise requires cardiac output to increase to ~25 L/min AND blood to be shunted away from splanchnic, renal, and cutaneous beds.</w:t>
      </w:r>
    </w:p>
    <w:p>
      <w:pPr>
        <w:spacing w:after="160" w:before="0" w:line="276"/>
        <w:jc w:val="both"/>
      </w:pPr>
      <w:r>
        <w:rPr>
          <w:rFonts w:ascii="Georgia" w:cs="Georgia" w:eastAsia="Georgia" w:hAnsi="Georgia"/>
          <w:b/>
          <w:bCs/>
          <w:color w:val="2E75B6"/>
          <w:sz w:val="22"/>
          <w:szCs w:val="22"/>
        </w:rPr>
        <w:t xml:space="preserve">Stratum 3 — Hormonal / systemic (10 seconds–minutes): </w:t>
      </w:r>
      <w:r>
        <w:rPr>
          <w:rFonts w:ascii="Georgia" w:cs="Georgia" w:eastAsia="Georgia" w:hAnsi="Georgia"/>
          <w:color w:val="5A5A5A"/>
          <w:sz w:val="22"/>
          <w:szCs w:val="22"/>
        </w:rPr>
        <w:t xml:space="preserve">Epinephrine, norepinephrine, angiotensin II, and nitric oxide provide sustained modulation. Epinephrine from adrenal medulla reaches target vessels in ~15–30 s (one circulation time). Nitric oxide (half-life ~5 s, diffusion range ~100–200 μm) provides continuous local fine-tuning of vascular tone.</w:t>
      </w:r>
    </w:p>
    <w:p>
      <w:pPr>
        <w:spacing w:after="160" w:before="0" w:line="276"/>
        <w:jc w:val="both"/>
      </w:pPr>
      <w:r>
        <w:rPr>
          <w:rFonts w:ascii="Georgia" w:cs="Georgia" w:eastAsia="Georgia" w:hAnsi="Georgia"/>
          <w:b/>
          <w:bCs/>
          <w:color w:val="2E75B6"/>
          <w:sz w:val="22"/>
          <w:szCs w:val="22"/>
        </w:rPr>
        <w:t xml:space="preserve">Stratum 4 — Structural remodeling (days–weeks): </w:t>
      </w:r>
      <w:r>
        <w:rPr>
          <w:rFonts w:ascii="Georgia" w:cs="Georgia" w:eastAsia="Georgia" w:hAnsi="Georgia"/>
          <w:color w:val="5A5A5A"/>
          <w:sz w:val="22"/>
          <w:szCs w:val="22"/>
        </w:rPr>
        <w:t xml:space="preserve">Chronic demand triggers angiogenesis (new capillary growth via VEGF signaling) and arteriogenesis (collateral vessel enlargement). Exercise training increases muscle capillary density by 20–40% over 6–8 weeks. This is the body’s infrastructure investment—it literally builds more network.</w:t>
      </w:r>
    </w:p>
    <w:p>
      <w:pPr>
        <w:spacing w:after="60" w:before="0" w:line="276"/>
        <w:jc w:val="both"/>
      </w:pPr>
      <w:r>
        <w:rPr>
          <w:rFonts w:ascii="Georgia" w:cs="Georgia" w:eastAsia="Georgia" w:hAnsi="Georgia"/>
          <w:color w:val="5A5A5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80"/>
      </w:tblGrid>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Stratum</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Mechanism</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Speed</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Range</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Physics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0: Metabolic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Chemical diffusion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&lt;1 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10–100 μm</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Fickian; t ∝ x²/D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1: Conducted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Endothelial gap junctions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1–3 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1–10 mm</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Electrical; ~2 mm/s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2: Neural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Sympathetic withdrawal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2–10 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Systemic</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Nerve conduction ~1–2 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3: Hormonal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Circulating catecholamines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15–60 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Whole body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Convective (one circulation)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4: Structural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Angiogenesis / VEGF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Days–weeks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Local tissue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Gene expression → cell growth</w:t>
            </w:r>
          </w:p>
        </w:tc>
      </w:tr>
    </w:tbl>
    <w:p>
      <w:r>
        <w:br w:type="page"/>
      </w:r>
    </w:p>
    <w:p>
      <w:pPr>
        <w:pBdr>
          <w:bottom w:val="single" w:color="2E75B6" w:sz="4" w:space="1"/>
        </w:pBdr>
        <w:spacing w:before="200" w:after="200"/>
      </w:pPr>
    </w:p>
    <w:p>
      <w:pPr>
        <w:pStyle w:val="Heading1"/>
      </w:pPr>
      <w:r>
        <w:t xml:space="preserve">V. The Anti-Dilution Problem: How Glucose Doesn’t Disappear</w:t>
      </w:r>
    </w:p>
    <w:p>
      <w:pPr>
        <w:spacing w:after="160" w:before="0" w:line="276"/>
        <w:jc w:val="both"/>
      </w:pPr>
      <w:r>
        <w:rPr>
          <w:rFonts w:ascii="Georgia" w:cs="Georgia" w:eastAsia="Georgia" w:hAnsi="Georgia"/>
          <w:color w:val="5A5A5A"/>
          <w:sz w:val="22"/>
          <w:szCs w:val="22"/>
        </w:rPr>
        <w:t xml:space="preserve">Your intuition that nutrients should “just get diluted” is well-founded—and the answer to why they don’t is one of the most elegant pieces of systems engineering in biology. The body solves this through four interlocking mechanisms:</w:t>
      </w:r>
    </w:p>
    <w:p>
      <w:pPr>
        <w:pStyle w:val="Heading3"/>
      </w:pPr>
      <w:r>
        <w:t xml:space="preserve">1. Continuous Regulated Input (The Liver as Buffer)</w:t>
      </w:r>
    </w:p>
    <w:p>
      <w:pPr>
        <w:spacing w:after="160" w:before="0" w:line="276"/>
        <w:jc w:val="both"/>
      </w:pPr>
      <w:r>
        <w:rPr>
          <w:rFonts w:ascii="Georgia" w:cs="Georgia" w:eastAsia="Georgia" w:hAnsi="Georgia"/>
          <w:color w:val="5A5A5A"/>
          <w:sz w:val="22"/>
          <w:szCs w:val="22"/>
        </w:rPr>
        <w:t xml:space="preserve">The liver stores ~100 g of glycogen and releases glucose at precisely the rate needed to maintain 4–6 mmol/L plasma concentration. Hepatic glucose output at rest: ~2 mg/kg/min (~8–10 g/hr). During exercise, this increases to ~5–8 mg/kg/min. The control loop: falling blood glucose → decreased insulin + increased glucagon → glycogenolysis + gluconeogenesis. The system dynamics resemble a PID controller: proportional response to glucose deviation, integral response to sustained demand, and derivative response to rate of change (GLP-1 incretin signaling detects glucose RATE of rise in the gut before it even enters systemic circulation).</w:t>
      </w:r>
    </w:p>
    <w:p>
      <w:pPr>
        <w:pStyle w:val="Heading3"/>
      </w:pPr>
      <w:r>
        <w:t xml:space="preserve">2. Carrier-Mediated Uptake (Active Targeting, Not Passive Diffusion)</w:t>
      </w:r>
    </w:p>
    <w:p>
      <w:pPr>
        <w:spacing w:after="160" w:before="0" w:line="276"/>
        <w:jc w:val="both"/>
      </w:pPr>
      <w:r>
        <w:rPr>
          <w:rFonts w:ascii="Georgia" w:cs="Georgia" w:eastAsia="Georgia" w:hAnsi="Georgia"/>
          <w:color w:val="5A5A5A"/>
          <w:sz w:val="22"/>
          <w:szCs w:val="22"/>
        </w:rPr>
        <w:t xml:space="preserve">Glucose does NOT simply diffuse into cells. It requires specific transporters: GLUT1 (brain, RBCs, constitutive), GLUT2 (liver, pancreatic β-cells, bidirectional sensor), GLUT3 (neurons, highest affinity, Km ~1.4 mmol/L), GLUT4 (muscle and fat, insulin-dependent, translocated to membrane on demand). This means tissues PULL glucose selectively. The brain, with its high-affinity GLUT1/3 transporters, gets priority even at low plasma concentrations. Muscle only takes up large amounts when insulin drives GLUT4 to the surface. This is chemical addressing—the equivalent of network routing.</w:t>
      </w:r>
    </w:p>
    <w:p>
      <w:pPr>
        <w:pStyle w:val="Heading3"/>
      </w:pPr>
      <w:r>
        <w:t xml:space="preserve">3. Compartmentalization (Not One Big Pool)</w:t>
      </w:r>
    </w:p>
    <w:p>
      <w:pPr>
        <w:spacing w:after="160" w:before="0" w:line="276"/>
        <w:jc w:val="both"/>
      </w:pPr>
      <w:r>
        <w:rPr>
          <w:rFonts w:ascii="Georgia" w:cs="Georgia" w:eastAsia="Georgia" w:hAnsi="Georgia"/>
          <w:color w:val="5A5A5A"/>
          <w:sz w:val="22"/>
          <w:szCs w:val="22"/>
        </w:rPr>
        <w:t xml:space="preserve">Blood is not a single well-mixed reservoir. It is a flow system with concentration gradients along capillary beds. Arterial glucose: ~5.5 mmol/L. Venous glucose leaving active muscle: ~3.5–4.0 mmol/L (arterio-venous difference of ~1.5–2.0 mmol/L). Venous glucose leaving the brain: ~4.5 mmol/L (A-V difference ~1.0 mmol/L). Each organ sees essentially a “fresh delivery” of full-concentration arterial blood on every pass. The rapid circulation (complete cycle in 20–30 s at rest, ~10–15 s during exercise) means concentration depletion per pass is small—each capillary bed extracts only 5–30% of any given nutrient before the blood returns to be replenished.</w:t>
      </w:r>
    </w:p>
    <w:p>
      <w:pPr>
        <w:pStyle w:val="Heading3"/>
      </w:pPr>
      <w:r>
        <w:t xml:space="preserve">4. Surface Area × Contact Time (The Metrizable Space Argument)</w:t>
      </w:r>
    </w:p>
    <w:p>
      <w:pPr>
        <w:spacing w:after="160" w:before="0" w:line="276"/>
        <w:jc w:val="both"/>
      </w:pPr>
      <w:r>
        <w:rPr>
          <w:rFonts w:ascii="Georgia" w:cs="Georgia" w:eastAsia="Georgia" w:hAnsi="Georgia"/>
          <w:color w:val="5A5A5A"/>
          <w:sz w:val="22"/>
          <w:szCs w:val="22"/>
        </w:rPr>
        <w:t xml:space="preserve">The total capillary surface area is ~600–800 m² (larger than the alveolar surface). Total capillary blood volume: ~250–300 mL. Capillary transit time: ~1–2 seconds. This means the blood is spread incredibly thin (capillary diameter 5–8 μm, barely wider than a red blood cell at 7.5 μm) over an enormous surface area, maximizing the surface-to-volume ratio for exchange. The red blood cell must actually deform to squeeze through, creating a plasma-skimming layer of ~0.5–1 μm that enhances diffusion by reducing the boundary layer. The Krogh cylinder model describes each capillary as serving a tissue cylinder of radius ~25–50 μm; the critical parameter is oxygen tension at the “lethal corner”—the point farthest from any capillary, equidistant between vessels.</w:t>
      </w:r>
    </w:p>
    <w:p>
      <w:pPr>
        <w:pBdr>
          <w:bottom w:val="single" w:color="2E75B6" w:sz="4" w:space="1"/>
        </w:pBdr>
        <w:spacing w:before="200" w:after="200"/>
      </w:pPr>
    </w:p>
    <w:p>
      <w:pPr>
        <w:pStyle w:val="Heading1"/>
      </w:pPr>
      <w:r>
        <w:t xml:space="preserve">VI. Targeted Delivery: How the Body Knows Where to Send What</w:t>
      </w:r>
    </w:p>
    <w:p>
      <w:pPr>
        <w:spacing w:after="160" w:before="0" w:line="276"/>
        <w:jc w:val="both"/>
      </w:pPr>
      <w:r>
        <w:rPr>
          <w:rFonts w:ascii="Georgia" w:cs="Georgia" w:eastAsia="Georgia" w:hAnsi="Georgia"/>
          <w:color w:val="5A5A5A"/>
          <w:sz w:val="22"/>
          <w:szCs w:val="22"/>
        </w:rPr>
        <w:t xml:space="preserve">The body does not solve the targeting problem with a central controller. Instead, it uses four distributed mechanisms that, together, implement something like a self-organizing routing network:</w:t>
      </w:r>
    </w:p>
    <w:p>
      <w:pPr>
        <w:spacing w:after="160" w:before="0" w:line="276"/>
        <w:jc w:val="both"/>
      </w:pPr>
      <w:r>
        <w:rPr>
          <w:rFonts w:ascii="Georgia" w:cs="Georgia" w:eastAsia="Georgia" w:hAnsi="Georgia"/>
          <w:b/>
          <w:bCs/>
          <w:color w:val="5A5A5A"/>
          <w:sz w:val="22"/>
          <w:szCs w:val="22"/>
        </w:rPr>
        <w:t xml:space="preserve">Hemodynamic autoregulation: </w:t>
      </w:r>
      <w:r>
        <w:rPr>
          <w:rFonts w:ascii="Georgia" w:cs="Georgia" w:eastAsia="Georgia" w:hAnsi="Georgia"/>
          <w:color w:val="5A5A5A"/>
          <w:sz w:val="22"/>
          <w:szCs w:val="22"/>
        </w:rPr>
        <w:t xml:space="preserve">Each organ maintains its own blood flow despite changes in systemic pressure. The brain holds flow constant at ~50 mL/100g/min across a mean arterial pressure range of 60–150 mmHg through the myogenic response (smooth muscle contracts when stretched) and metabolic feedback. The kidney maintains glomerular filtration rate (GFR) at ~125 mL/min via tubuloglomerular feedback. This means each organ “claims” its share of cardiac output locally.</w:t>
      </w:r>
    </w:p>
    <w:p>
      <w:pPr>
        <w:spacing w:after="160" w:before="0" w:line="276"/>
        <w:jc w:val="both"/>
      </w:pPr>
      <w:r>
        <w:rPr>
          <w:rFonts w:ascii="Georgia" w:cs="Georgia" w:eastAsia="Georgia" w:hAnsi="Georgia"/>
          <w:b/>
          <w:bCs/>
          <w:color w:val="5A5A5A"/>
          <w:sz w:val="22"/>
          <w:szCs w:val="22"/>
        </w:rPr>
        <w:t xml:space="preserve">Receptor density as address: </w:t>
      </w:r>
      <w:r>
        <w:rPr>
          <w:rFonts w:ascii="Georgia" w:cs="Georgia" w:eastAsia="Georgia" w:hAnsi="Georgia"/>
          <w:color w:val="5A5A5A"/>
          <w:sz w:val="22"/>
          <w:szCs w:val="22"/>
        </w:rPr>
        <w:t xml:space="preserve">The number and type of receptors on a cell surface determine what it absorbs. Hepatocytes express high-density LDL receptors; adipocytes express lipoprotein lipase; neurons express MCT2 for ketone uptake. The cell’s receptor profile IS its nutrient address.</w:t>
      </w:r>
    </w:p>
    <w:p>
      <w:pPr>
        <w:spacing w:after="160" w:before="0" w:line="276"/>
        <w:jc w:val="both"/>
      </w:pPr>
      <w:r>
        <w:rPr>
          <w:rFonts w:ascii="Georgia" w:cs="Georgia" w:eastAsia="Georgia" w:hAnsi="Georgia"/>
          <w:b/>
          <w:bCs/>
          <w:color w:val="5A5A5A"/>
          <w:sz w:val="22"/>
          <w:szCs w:val="22"/>
        </w:rPr>
        <w:t xml:space="preserve">Hormone-gated access: </w:t>
      </w:r>
      <w:r>
        <w:rPr>
          <w:rFonts w:ascii="Georgia" w:cs="Georgia" w:eastAsia="Georgia" w:hAnsi="Georgia"/>
          <w:color w:val="5A5A5A"/>
          <w:sz w:val="22"/>
          <w:szCs w:val="22"/>
        </w:rPr>
        <w:t xml:space="preserve">Insulin acts as a “pass key”—without it, muscle and fat cannot access glucose (GLUT4 stays intracellular). The brain doesn’t need this key (GLUT1/3 are constitutive). This implements a priority queue: brain always gets glucose; muscle/fat only get it when insulin signals abundance.</w:t>
      </w:r>
    </w:p>
    <w:p>
      <w:pPr>
        <w:spacing w:after="160" w:before="0" w:line="276"/>
        <w:jc w:val="both"/>
      </w:pPr>
      <w:r>
        <w:rPr>
          <w:rFonts w:ascii="Georgia" w:cs="Georgia" w:eastAsia="Georgia" w:hAnsi="Georgia"/>
          <w:b/>
          <w:bCs/>
          <w:color w:val="5A5A5A"/>
          <w:sz w:val="22"/>
          <w:szCs w:val="22"/>
        </w:rPr>
        <w:t xml:space="preserve">Topological routing (portal systems): </w:t>
      </w:r>
      <w:r>
        <w:rPr>
          <w:rFonts w:ascii="Georgia" w:cs="Georgia" w:eastAsia="Georgia" w:hAnsi="Georgia"/>
          <w:color w:val="5A5A5A"/>
          <w:sz w:val="22"/>
          <w:szCs w:val="22"/>
        </w:rPr>
        <w:t xml:space="preserve">The hepatic portal system ensures all absorbed nutrients pass through the liver before entering systemic circulation. The hypothalamic-pituitary portal system delivers pituitary hormones directly to target endocrine glands. These are hardwired topological features of the vascular network—not dynamic signals, but structural constraints that determine “who sees what first.”</w:t>
      </w:r>
    </w:p>
    <w:p>
      <w:pPr>
        <w:pBdr>
          <w:bottom w:val="single" w:color="2E75B6" w:sz="4" w:space="1"/>
        </w:pBdr>
        <w:spacing w:before="200" w:after="200"/>
      </w:pPr>
    </w:p>
    <w:p>
      <w:pPr>
        <w:pStyle w:val="Heading1"/>
      </w:pPr>
      <w:r>
        <w:t xml:space="preserve">VII. Cohomological Interpretation: Strata of Interaction</w:t>
      </w:r>
    </w:p>
    <w:p>
      <w:pPr>
        <w:spacing w:after="160" w:before="0" w:line="276"/>
        <w:jc w:val="both"/>
      </w:pPr>
      <w:r>
        <w:rPr>
          <w:rFonts w:ascii="Georgia" w:cs="Georgia" w:eastAsia="Georgia" w:hAnsi="Georgia"/>
          <w:color w:val="5A5A5A"/>
          <w:sz w:val="22"/>
          <w:szCs w:val="22"/>
        </w:rPr>
        <w:t xml:space="preserve">Viewing these systems through a cohomological lens, the interaction cascades organize into strata by temporal scale, spatial scale, and information type: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600"/>
        <w:gridCol w:w="1600"/>
        <w:gridCol w:w="1600"/>
        <w:gridCol w:w="2080"/>
      </w:tblGrid>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Stratum</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Time Scale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Length Scale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Air System</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Water System</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Solid System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H⁰</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ms–seconds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μm (molecular)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O₂/CO₂ diffusion across alveolar membrane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Aquaporin water flux across cell membrane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Glucose transporter binding; ion channel gating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H¹</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seconds–minutes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mm–cm (tissue)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Ventilation–perfusion matching; shunt regulation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Starling filtration; lymphatic pumping</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Arterio-venous extraction; insulin-GLUT4 translocation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H²</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minutes–hours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cm–m (organ)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Respiratory drive adjustment; chemoreceptor loops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Kidney filtration rate; ADH/aldosterone regulation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Hepatic glucose output; lipolysis; amino acid pools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H³</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hours–days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Whole-body systemic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Altitude acclimatization; EPO → erythropoiesis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Fluid compartment redistribution; thirst regulation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Fed/fasted cycling; glycogen loading/depletion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b/>
                <w:bCs/>
                <w:color w:val="5A5A5A"/>
                <w:sz w:val="20"/>
                <w:szCs w:val="20"/>
              </w:rPr>
              <w:t xml:space="preserve">H⁴</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days–weeks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Structural adaptation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Lung diffusion capacity increase; diaphragm remodeling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Plasma volume expansion; capillary angiogenesis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line="260"/>
            </w:pPr>
            <w:r>
              <w:rPr>
                <w:rFonts w:ascii="Georgia" w:cs="Georgia" w:eastAsia="Georgia" w:hAnsi="Georgia"/>
                <w:color w:val="5A5A5A"/>
                <w:sz w:val="19"/>
                <w:szCs w:val="19"/>
              </w:rPr>
              <w:t xml:space="preserve">Enzyme upregulation; mitochondrial biogenesis; GLUT4 density</w:t>
            </w:r>
          </w:p>
        </w:tc>
      </w:tr>
    </w:tbl>
    <w:p>
      <w:pPr>
        <w:spacing w:after="160" w:before="0" w:line="276"/>
        <w:jc w:val="both"/>
      </w:pPr>
      <w:r>
        <w:rPr>
          <w:rFonts w:ascii="Georgia" w:cs="Georgia" w:eastAsia="Georgia" w:hAnsi="Georgia"/>
          <w:color w:val="5A5A5A"/>
          <w:sz w:val="22"/>
          <w:szCs w:val="22"/>
        </w:rPr>
        <w:t xml:space="preserve"/>
      </w:r>
    </w:p>
    <w:p>
      <w:pPr>
        <w:pStyle w:val="Heading3"/>
      </w:pPr>
      <w:r>
        <w:t xml:space="preserve">The IAP Breathing Connection</w:t>
      </w:r>
    </w:p>
    <w:p>
      <w:pPr>
        <w:spacing w:after="160" w:before="0" w:line="276"/>
        <w:jc w:val="both"/>
      </w:pPr>
      <w:r>
        <w:rPr>
          <w:rFonts w:ascii="Georgia" w:cs="Georgia" w:eastAsia="Georgia" w:hAnsi="Georgia"/>
          <w:i/>
          <w:iCs/>
          <w:color w:val="5A5A5A"/>
          <w:sz w:val="22"/>
          <w:szCs w:val="22"/>
        </w:rPr>
        <w:t xml:space="preserve">This multi-stratum architecture explains WHY diaphragmatic IAP breathing has such broad effects. The diaphragm is the only structure that simultaneously participates in: </w:t>
      </w:r>
      <w:r>
        <w:rPr>
          <w:rFonts w:ascii="Georgia" w:cs="Georgia" w:eastAsia="Georgia" w:hAnsi="Georgia"/>
          <w:b/>
          <w:bCs/>
          <w:i/>
          <w:iCs/>
          <w:color w:val="5A5A5A"/>
          <w:sz w:val="22"/>
          <w:szCs w:val="22"/>
        </w:rPr>
        <w:t xml:space="preserve">(1)</w:t>
      </w:r>
      <w:r>
        <w:rPr>
          <w:rFonts w:ascii="Georgia" w:cs="Georgia" w:eastAsia="Georgia" w:hAnsi="Georgia"/>
          <w:i/>
          <w:iCs/>
          <w:color w:val="5A5A5A"/>
          <w:sz w:val="22"/>
          <w:szCs w:val="22"/>
        </w:rPr>
        <w:t xml:space="preserve"> the gas exchange system (ventilation drive), </w:t>
      </w:r>
      <w:r>
        <w:rPr>
          <w:rFonts w:ascii="Georgia" w:cs="Georgia" w:eastAsia="Georgia" w:hAnsi="Georgia"/>
          <w:b/>
          <w:bCs/>
          <w:i/>
          <w:iCs/>
          <w:color w:val="5A5A5A"/>
          <w:sz w:val="22"/>
          <w:szCs w:val="22"/>
        </w:rPr>
        <w:t xml:space="preserve">(2)</w:t>
      </w:r>
      <w:r>
        <w:rPr>
          <w:rFonts w:ascii="Georgia" w:cs="Georgia" w:eastAsia="Georgia" w:hAnsi="Georgia"/>
          <w:i/>
          <w:iCs/>
          <w:color w:val="5A5A5A"/>
          <w:sz w:val="22"/>
          <w:szCs w:val="22"/>
        </w:rPr>
        <w:t xml:space="preserve"> the liquid system (thoracic pump for venous and lymph return—the diaphragm’s excursion creates 5–15 mmHg pressure swings that drive ~60% of lymphatic flow), and </w:t>
      </w:r>
      <w:r>
        <w:rPr>
          <w:rFonts w:ascii="Georgia" w:cs="Georgia" w:eastAsia="Georgia" w:hAnsi="Georgia"/>
          <w:b/>
          <w:bCs/>
          <w:i/>
          <w:iCs/>
          <w:color w:val="5A5A5A"/>
          <w:sz w:val="22"/>
          <w:szCs w:val="22"/>
        </w:rPr>
        <w:t xml:space="preserve">(3)</w:t>
      </w:r>
      <w:r>
        <w:rPr>
          <w:rFonts w:ascii="Georgia" w:cs="Georgia" w:eastAsia="Georgia" w:hAnsi="Georgia"/>
          <w:i/>
          <w:iCs/>
          <w:color w:val="5A5A5A"/>
          <w:sz w:val="22"/>
          <w:szCs w:val="22"/>
        </w:rPr>
        <w:t xml:space="preserve"> the solid-nutrient system indirectly (by optimizing cardiac preload and therefore cardiac output, and by modulating intra-abdominal pressure on the portal venous system, affecting hepatic blood flow and therefore glucose regulation). The diaphragm is literally the body’s central pump for all three modalities—a fact that the cohomological framing makes structurally visible.</w:t>
      </w:r>
    </w:p>
    <w:p>
      <w:pPr>
        <w:spacing w:after="100" w:before="0" w:line="276"/>
        <w:jc w:val="both"/>
      </w:pPr>
      <w:r>
        <w:rPr>
          <w:rFonts w:ascii="Georgia" w:cs="Georgia" w:eastAsia="Georgia" w:hAnsi="Georgia"/>
          <w:color w:val="5A5A5A"/>
          <w:sz w:val="22"/>
          <w:szCs w:val="22"/>
        </w:rPr>
        <w:t xml:space="preserve"/>
      </w:r>
    </w:p>
    <w:p>
      <w:pPr>
        <w:pBdr>
          <w:top w:val="single" w:color="CCCCCC" w:sz="2" w:space="4"/>
        </w:pBdr>
        <w:spacing w:before="200"/>
      </w:pPr>
      <w:r>
        <w:rPr>
          <w:rFonts w:ascii="Georgia" w:cs="Georgia" w:eastAsia="Georgia" w:hAnsi="Georgia"/>
          <w:i/>
          <w:iCs/>
          <w:color w:val="999999"/>
          <w:sz w:val="18"/>
          <w:szCs w:val="18"/>
        </w:rPr>
        <w:t xml:space="preserve">Prepared as a reference document for the Structure Over Amplitude research framework. Numerical ranges compiled from standard physiology references (Guyton &amp; Hall, Boron &amp; Boulpaep, West) and primary literature. All values represent typical ranges for a healthy 70 kg adult.</w:t>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Structure Over Amplitude — Fluid Dynamics of the Body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2026-03-01T17:51:41.260Z</dcterms:created>
  <dcterms:modified xsi:type="dcterms:W3CDTF">2026-03-01T17:51:41.261Z</dcterms:modified>
</cp:coreProperties>
</file>

<file path=docProps/custom.xml><?xml version="1.0" encoding="utf-8"?>
<Properties xmlns="http://schemas.openxmlformats.org/officeDocument/2006/custom-properties" xmlns:vt="http://schemas.openxmlformats.org/officeDocument/2006/docPropsVTypes"/>
</file>