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880"/>
      </w:pPr>
    </w:p>
    <w:p>
      <w:pPr>
        <w:jc w:val="center"/>
      </w:pPr>
      <w:r>
        <w:rPr>
          <w:rFonts w:ascii="Arial" w:cs="Arial" w:eastAsia="Arial" w:hAnsi="Arial"/>
          <w:b/>
          <w:bCs/>
          <w:color w:val="1B2A4A"/>
          <w:sz w:val="56"/>
          <w:szCs w:val="56"/>
        </w:rPr>
        <w:t xml:space="preserve">AI-ENABLED CYBERSECURITY</w:t>
      </w:r>
    </w:p>
    <w:p>
      <w:pPr>
        <w:jc w:val="center"/>
      </w:pPr>
      <w:r>
        <w:rPr>
          <w:rFonts w:ascii="Arial" w:cs="Arial" w:eastAsia="Arial" w:hAnsi="Arial"/>
          <w:b/>
          <w:bCs/>
          <w:color w:val="2E5F8A"/>
          <w:sz w:val="56"/>
          <w:szCs w:val="56"/>
        </w:rPr>
        <w:t xml:space="preserve">GOVERNANCE FRAMEWORK</w:t>
      </w:r>
    </w:p>
    <w:p>
      <w:pPr>
        <w:spacing w:after="80" w:before="160"/>
      </w:pPr>
    </w:p>
    <w:p>
      <w:pPr>
        <w:jc w:val="center"/>
      </w:pPr>
      <w:r>
        <w:rPr>
          <w:rFonts w:ascii="Arial" w:cs="Arial" w:eastAsia="Arial" w:hAnsi="Arial"/>
          <w:i/>
          <w:iCs/>
          <w:color w:val="4A6B8C"/>
          <w:sz w:val="26"/>
          <w:szCs w:val="26"/>
        </w:rPr>
        <w:t xml:space="preserve">Red Team / Blue Team Operational Policy for Advanced AI Models</w:t>
      </w:r>
    </w:p>
    <w:p>
      <w:pPr>
        <w:spacing w:after="320" w:before="320"/>
      </w:pPr>
    </w:p>
    <w:p>
      <w:pPr>
        <w:jc w:val="center"/>
      </w:pPr>
      <w:r>
        <w:rPr>
          <w:rFonts w:ascii="Arial" w:cs="Arial" w:eastAsia="Arial" w:hAnsi="Arial"/>
          <w:b/>
          <w:bCs/>
          <w:color w:val="1B2A4A"/>
          <w:sz w:val="24"/>
          <w:szCs w:val="24"/>
        </w:rPr>
        <w:t xml:space="preserve">Version 1.0  —  Initial Framework Specification</w:t>
      </w:r>
    </w:p>
    <w:p>
      <w:pPr>
        <w:spacing w:after="160" w:before="400"/>
      </w:pPr>
    </w:p>
    <w:p>
      <w:pPr>
        <w:jc w:val="center"/>
      </w:pPr>
      <w:r>
        <w:rPr>
          <w:rFonts w:ascii="Arial" w:cs="Arial" w:eastAsia="Arial" w:hAnsi="Arial"/>
          <w:b/>
          <w:bCs/>
          <w:color w:val="B45309"/>
          <w:sz w:val="22"/>
          <w:szCs w:val="22"/>
        </w:rPr>
        <w:t xml:space="preserve">RESTRICTED — REGISTERED INDUSTRY PARTNERS ONLY</w:t>
      </w:r>
    </w:p>
    <w:p>
      <w:pPr>
        <w:spacing w:after="160" w:before="400"/>
      </w:pP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Restricted — Registered Industry Partners Only</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 Initial Framework Specification</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3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AI frontier model deployments in cybersecurity environments</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Ikshudhanva P L</w:t>
            </w:r>
          </w:p>
        </w:tc>
      </w:tr>
    </w:tbl>
    <w:p>
      <w:r>
        <w:br w:type="page"/>
      </w: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Table of Contents</w:t>
      </w:r>
    </w:p>
    <w:p>
      <w:pPr>
        <w:spacing w:after="80" w:before="80"/>
        <w:jc w:val="both"/>
      </w:pPr>
      <w:r>
        <w:rPr>
          <w:rFonts w:ascii="Arial" w:cs="Arial" w:eastAsia="Arial" w:hAnsi="Arial"/>
          <w:color w:val="1A1A1A"/>
          <w:sz w:val="22"/>
          <w:szCs w:val="22"/>
        </w:rPr>
        <w:t xml:space="preserve">This document contains the following sections:</w:t>
      </w:r>
    </w:p>
    <w:p>
      <w:pPr>
        <w:spacing w:after="120" w:before="120"/>
      </w:pPr>
    </w:p>
    <w:p>
      <w:pPr>
        <w:spacing w:after="60" w:before="60"/>
      </w:pPr>
      <w:r>
        <w:rPr>
          <w:rFonts w:ascii="Arial" w:cs="Arial" w:eastAsia="Arial" w:hAnsi="Arial"/>
          <w:color w:val="1B2A4A"/>
          <w:sz w:val="22"/>
          <w:szCs w:val="22"/>
        </w:rPr>
        <w:t xml:space="preserve">1. Executive Summary</w:t>
      </w:r>
    </w:p>
    <w:p>
      <w:pPr>
        <w:spacing w:after="60" w:before="60"/>
      </w:pPr>
      <w:r>
        <w:rPr>
          <w:rFonts w:ascii="Arial" w:cs="Arial" w:eastAsia="Arial" w:hAnsi="Arial"/>
          <w:color w:val="1B2A4A"/>
          <w:sz w:val="22"/>
          <w:szCs w:val="22"/>
        </w:rPr>
        <w:t xml:space="preserve">2. Scope and Applicability</w:t>
      </w:r>
    </w:p>
    <w:p>
      <w:pPr>
        <w:spacing w:after="60" w:before="60"/>
      </w:pPr>
      <w:r>
        <w:rPr>
          <w:rFonts w:ascii="Arial" w:cs="Arial" w:eastAsia="Arial" w:hAnsi="Arial"/>
          <w:color w:val="1B2A4A"/>
          <w:sz w:val="22"/>
          <w:szCs w:val="22"/>
        </w:rPr>
        <w:t xml:space="preserve">3. Rule 1 — Separation of Duties (SoD)</w:t>
      </w:r>
    </w:p>
    <w:p>
      <w:pPr>
        <w:spacing w:after="60" w:before="60"/>
      </w:pPr>
      <w:r>
        <w:rPr>
          <w:rFonts w:ascii="Arial" w:cs="Arial" w:eastAsia="Arial" w:hAnsi="Arial"/>
          <w:color w:val="1B2A4A"/>
          <w:sz w:val="22"/>
          <w:szCs w:val="22"/>
        </w:rPr>
        <w:t xml:space="preserve">4. Rule 2 — Virtual Environment Mandate</w:t>
      </w:r>
    </w:p>
    <w:p>
      <w:pPr>
        <w:spacing w:after="60" w:before="60"/>
      </w:pPr>
      <w:r>
        <w:rPr>
          <w:rFonts w:ascii="Arial" w:cs="Arial" w:eastAsia="Arial" w:hAnsi="Arial"/>
          <w:color w:val="1B2A4A"/>
          <w:sz w:val="22"/>
          <w:szCs w:val="22"/>
        </w:rPr>
        <w:t xml:space="preserve">5. Rule 3 — Test and Document Only</w:t>
      </w:r>
    </w:p>
    <w:p>
      <w:pPr>
        <w:spacing w:after="60" w:before="60"/>
      </w:pPr>
      <w:r>
        <w:rPr>
          <w:rFonts w:ascii="Arial" w:cs="Arial" w:eastAsia="Arial" w:hAnsi="Arial"/>
          <w:color w:val="1B2A4A"/>
          <w:sz w:val="22"/>
          <w:szCs w:val="22"/>
        </w:rPr>
        <w:t xml:space="preserve">6. Rule 4 — Access Controls (RBAC + ABAC)</w:t>
      </w:r>
    </w:p>
    <w:p>
      <w:pPr>
        <w:spacing w:after="60" w:before="60"/>
      </w:pPr>
      <w:r>
        <w:rPr>
          <w:rFonts w:ascii="Arial" w:cs="Arial" w:eastAsia="Arial" w:hAnsi="Arial"/>
          <w:color w:val="1B2A4A"/>
          <w:sz w:val="22"/>
          <w:szCs w:val="22"/>
        </w:rPr>
        <w:t xml:space="preserve">7. Rule 5 — Blue Team Remediation Protocol</w:t>
      </w:r>
    </w:p>
    <w:p>
      <w:pPr>
        <w:spacing w:after="60" w:before="60"/>
      </w:pPr>
      <w:r>
        <w:rPr>
          <w:rFonts w:ascii="Arial" w:cs="Arial" w:eastAsia="Arial" w:hAnsi="Arial"/>
          <w:color w:val="1B2A4A"/>
          <w:sz w:val="22"/>
          <w:szCs w:val="22"/>
        </w:rPr>
        <w:t xml:space="preserve">8. Rule 6 — Critical Escalation Protocol</w:t>
      </w:r>
    </w:p>
    <w:p>
      <w:pPr>
        <w:spacing w:after="60" w:before="60"/>
      </w:pPr>
      <w:r>
        <w:rPr>
          <w:rFonts w:ascii="Arial" w:cs="Arial" w:eastAsia="Arial" w:hAnsi="Arial"/>
          <w:color w:val="1B2A4A"/>
          <w:sz w:val="22"/>
          <w:szCs w:val="22"/>
        </w:rPr>
        <w:t xml:space="preserve">9. Rule 7 — The Common Sense Principle</w:t>
      </w:r>
    </w:p>
    <w:p>
      <w:pPr>
        <w:spacing w:after="60" w:before="60"/>
      </w:pPr>
      <w:r>
        <w:rPr>
          <w:rFonts w:ascii="Arial" w:cs="Arial" w:eastAsia="Arial" w:hAnsi="Arial"/>
          <w:color w:val="1B2A4A"/>
          <w:sz w:val="22"/>
          <w:szCs w:val="22"/>
        </w:rPr>
        <w:t xml:space="preserve">10. IAM Architecture Summary</w:t>
      </w:r>
    </w:p>
    <w:p>
      <w:pPr>
        <w:spacing w:after="60" w:before="60"/>
      </w:pPr>
      <w:r>
        <w:rPr>
          <w:rFonts w:ascii="Arial" w:cs="Arial" w:eastAsia="Arial" w:hAnsi="Arial"/>
          <w:color w:val="1B2A4A"/>
          <w:sz w:val="22"/>
          <w:szCs w:val="22"/>
        </w:rPr>
        <w:t xml:space="preserve">11. References</w:t>
      </w:r>
    </w:p>
    <w:p>
      <w:r>
        <w:br w:type="page"/>
      </w: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 Executive Summary</w:t>
      </w:r>
    </w:p>
    <w:p>
      <w:pPr>
        <w:spacing w:after="80" w:before="80"/>
        <w:jc w:val="both"/>
      </w:pPr>
      <w:r>
        <w:rPr>
          <w:rFonts w:ascii="Arial" w:cs="Arial" w:eastAsia="Arial" w:hAnsi="Arial"/>
          <w:color w:val="1A1A1A"/>
          <w:sz w:val="22"/>
          <w:szCs w:val="22"/>
        </w:rPr>
        <w:t xml:space="preserve">This framework establishes the governance, access controls, operational procedures, and escalation protocols for deploying frontier AI models — specifically those with advanced vulnerability detection and exploitation capabilities — within cybersecurity environments.</w:t>
      </w:r>
    </w:p>
    <w:p>
      <w:pPr>
        <w:spacing w:after="120" w:before="80"/>
      </w:pPr>
    </w:p>
    <w:p>
      <w:pPr>
        <w:spacing w:after="80" w:before="80"/>
        <w:jc w:val="both"/>
      </w:pPr>
      <w:r>
        <w:rPr>
          <w:rFonts w:ascii="Arial" w:cs="Arial" w:eastAsia="Arial" w:hAnsi="Arial"/>
          <w:color w:val="1A1A1A"/>
          <w:sz w:val="22"/>
          <w:szCs w:val="22"/>
        </w:rPr>
        <w:t xml:space="preserve">The central premise is unambiguous: AI of this capability class is a dual-use tool. The same model that can identify a zero-day exploit can patch it. The same reasoning that enables an attack can architect a defence. This document ensures that power is directed exclusively toward defence, with humans in authoritative control at every critical decision point.</w:t>
      </w:r>
    </w:p>
    <w:p>
      <w:pPr>
        <w:spacing w:after="120" w:before="80"/>
      </w:pPr>
    </w:p>
    <w:p>
      <w:pPr>
        <w:spacing w:after="80" w:before="80"/>
        <w:jc w:val="both"/>
      </w:pPr>
      <w:r>
        <w:rPr>
          <w:rFonts w:ascii="Arial" w:cs="Arial" w:eastAsia="Arial" w:hAnsi="Arial"/>
          <w:color w:val="1A1A1A"/>
          <w:sz w:val="22"/>
          <w:szCs w:val="22"/>
        </w:rPr>
        <w:t xml:space="preserve">This framework was designed with three governing principles:</w:t>
      </w:r>
    </w:p>
    <w:p>
      <w:pPr>
        <w:pStyle w:val="ListParagraph"/>
        <w:numPr>
          <w:ilvl w:val="0"/>
          <w:numId w:val="2"/>
        </w:numPr>
        <w:spacing w:after="60" w:before="60"/>
      </w:pPr>
      <w:r>
        <w:rPr>
          <w:rFonts w:ascii="Arial" w:cs="Arial" w:eastAsia="Arial" w:hAnsi="Arial"/>
          <w:color w:val="1A1A1A"/>
          <w:sz w:val="22"/>
          <w:szCs w:val="22"/>
        </w:rPr>
        <w:t xml:space="preserve">Help, do not destroy — AI is a force multiplier for defenders, not a weapon.</w:t>
      </w:r>
    </w:p>
    <w:p>
      <w:pPr>
        <w:pStyle w:val="ListParagraph"/>
        <w:numPr>
          <w:ilvl w:val="0"/>
          <w:numId w:val="2"/>
        </w:numPr>
        <w:spacing w:after="60" w:before="60"/>
      </w:pPr>
      <w:r>
        <w:rPr>
          <w:rFonts w:ascii="Arial" w:cs="Arial" w:eastAsia="Arial" w:hAnsi="Arial"/>
          <w:color w:val="1A1A1A"/>
          <w:sz w:val="22"/>
          <w:szCs w:val="22"/>
        </w:rPr>
        <w:t xml:space="preserve">Human primacy — No AI action is terminal without human verification and authorisation.</w:t>
      </w:r>
    </w:p>
    <w:p>
      <w:pPr>
        <w:pStyle w:val="ListParagraph"/>
        <w:numPr>
          <w:ilvl w:val="0"/>
          <w:numId w:val="2"/>
        </w:numPr>
        <w:spacing w:after="60" w:before="60"/>
      </w:pPr>
      <w:r>
        <w:rPr>
          <w:rFonts w:ascii="Arial" w:cs="Arial" w:eastAsia="Arial" w:hAnsi="Arial"/>
          <w:color w:val="1A1A1A"/>
          <w:sz w:val="22"/>
          <w:szCs w:val="22"/>
        </w:rPr>
        <w:t xml:space="preserve">Transparency and accountability — Every action is logged, reviewed, and auditable.</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2. Scope and Applicability</w:t>
      </w:r>
    </w:p>
    <w:p>
      <w:pPr>
        <w:spacing w:after="80" w:before="80"/>
        <w:jc w:val="both"/>
      </w:pPr>
      <w:r>
        <w:rPr>
          <w:rFonts w:ascii="Arial" w:cs="Arial" w:eastAsia="Arial" w:hAnsi="Arial"/>
          <w:color w:val="1A1A1A"/>
          <w:sz w:val="22"/>
          <w:szCs w:val="22"/>
        </w:rPr>
        <w:t xml:space="preserve">This framework applies to any organisation granted access to a frontier AI model under a restricted cybersecurity deployment programme (e.g., Project Glasswing or equivalent). It governs:</w:t>
      </w:r>
    </w:p>
    <w:p>
      <w:pPr>
        <w:pStyle w:val="ListParagraph"/>
        <w:numPr>
          <w:ilvl w:val="0"/>
          <w:numId w:val="2"/>
        </w:numPr>
        <w:spacing w:after="60" w:before="60"/>
      </w:pPr>
      <w:r>
        <w:rPr>
          <w:rFonts w:ascii="Arial" w:cs="Arial" w:eastAsia="Arial" w:hAnsi="Arial"/>
          <w:color w:val="1A1A1A"/>
          <w:sz w:val="22"/>
          <w:szCs w:val="22"/>
        </w:rPr>
        <w:t xml:space="preserve">The separation of offensive (Red Team) and defensive (Blue Team) AI operations</w:t>
      </w:r>
    </w:p>
    <w:p>
      <w:pPr>
        <w:pStyle w:val="ListParagraph"/>
        <w:numPr>
          <w:ilvl w:val="0"/>
          <w:numId w:val="2"/>
        </w:numPr>
        <w:spacing w:after="60" w:before="60"/>
      </w:pPr>
      <w:r>
        <w:rPr>
          <w:rFonts w:ascii="Arial" w:cs="Arial" w:eastAsia="Arial" w:hAnsi="Arial"/>
          <w:color w:val="1A1A1A"/>
          <w:sz w:val="22"/>
          <w:szCs w:val="22"/>
        </w:rPr>
        <w:t xml:space="preserve">The physical, logical, and temporal access controls required for safe use</w:t>
      </w:r>
    </w:p>
    <w:p>
      <w:pPr>
        <w:pStyle w:val="ListParagraph"/>
        <w:numPr>
          <w:ilvl w:val="0"/>
          <w:numId w:val="2"/>
        </w:numPr>
        <w:spacing w:after="60" w:before="60"/>
      </w:pPr>
      <w:r>
        <w:rPr>
          <w:rFonts w:ascii="Arial" w:cs="Arial" w:eastAsia="Arial" w:hAnsi="Arial"/>
          <w:color w:val="1A1A1A"/>
          <w:sz w:val="22"/>
          <w:szCs w:val="22"/>
        </w:rPr>
        <w:t xml:space="preserve">The documentation and disclosure obligations for discovered vulnerabilities</w:t>
      </w:r>
    </w:p>
    <w:p>
      <w:pPr>
        <w:pStyle w:val="ListParagraph"/>
        <w:numPr>
          <w:ilvl w:val="0"/>
          <w:numId w:val="2"/>
        </w:numPr>
        <w:spacing w:after="60" w:before="60"/>
      </w:pPr>
      <w:r>
        <w:rPr>
          <w:rFonts w:ascii="Arial" w:cs="Arial" w:eastAsia="Arial" w:hAnsi="Arial"/>
          <w:color w:val="1A1A1A"/>
          <w:sz w:val="22"/>
          <w:szCs w:val="22"/>
        </w:rPr>
        <w:t xml:space="preserve">The escalation procedures for critical findings and real-world impact events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B45309" w:sz="3"/>
              <w:left w:val="single" w:color="B45309" w:sz="3"/>
              <w:bottom w:val="single" w:color="B45309" w:sz="3"/>
              <w:right w:val="none" w:color="FFFFFF" w:sz="0"/>
            </w:tcBorders>
            <w:shd w:fill="B45309"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B45309" w:sz="3"/>
              <w:left w:val="none" w:color="FFFFFF" w:sz="0"/>
              <w:bottom w:val="single" w:color="B45309" w:sz="3"/>
              <w:right w:val="single" w:color="B45309" w:sz="3"/>
            </w:tcBorders>
            <w:shd w:fill="E8EFF7" w:val="clear"/>
            <w:tcMar>
              <w:top w:type="dxa" w:w="80"/>
              <w:left w:type="dxa" w:w="160"/>
              <w:bottom w:type="dxa" w:w="80"/>
              <w:right w:type="dxa" w:w="120"/>
            </w:tcMar>
          </w:tcPr>
          <w:p>
            <w:r>
              <w:rPr>
                <w:rFonts w:ascii="Arial" w:cs="Arial" w:eastAsia="Arial" w:hAnsi="Arial"/>
                <w:b/>
                <w:bCs/>
                <w:color w:val="B45309"/>
                <w:sz w:val="20"/>
                <w:szCs w:val="20"/>
              </w:rPr>
              <w:t xml:space="preserve">SCOPE NOTE</w:t>
            </w:r>
          </w:p>
          <w:p>
            <w:pPr>
              <w:spacing w:before="40"/>
            </w:pPr>
            <w:r>
              <w:rPr>
                <w:rFonts w:ascii="Arial" w:cs="Arial" w:eastAsia="Arial" w:hAnsi="Arial"/>
                <w:color w:val="1A1A1A"/>
                <w:sz w:val="20"/>
                <w:szCs w:val="20"/>
              </w:rPr>
              <w:t xml:space="preserve">This framework does NOT authorise offensive use of discovered vulnerabilities. All findings are for defensive hardening only. Any use of AI-identified exploits against systems not under authorised scope constitutes a criminal offence under applicable computer fraud laws, including India's Information Technology Act 2000 (Section 43), the UK Computer Misuse Act 1990, and the US Computer Fraud and Abuse Act.</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3. Rule 1 — Separation of Duties (SoD)</w:t>
      </w:r>
    </w:p>
    <w:p>
      <w:pPr>
        <w:spacing w:after="80" w:before="80"/>
        <w:jc w:val="both"/>
      </w:pPr>
      <w:r>
        <w:rPr>
          <w:rFonts w:ascii="Arial" w:cs="Arial" w:eastAsia="Arial" w:hAnsi="Arial"/>
          <w:color w:val="1A1A1A"/>
          <w:sz w:val="22"/>
          <w:szCs w:val="22"/>
        </w:rPr>
        <w:t xml:space="preserve">The Red Team and Blue Team must operate as entirely independent units with no shared personnel, systems, communication channels, or findings access.</w:t>
      </w:r>
    </w:p>
    <w:p>
      <w:pPr>
        <w:pStyle w:val="Heading2"/>
        <w:spacing w:after="160" w:before="300"/>
        <w:outlineLvl w:val="1"/>
      </w:pPr>
      <w:r>
        <w:rPr>
          <w:rFonts w:ascii="Arial" w:cs="Arial" w:eastAsia="Arial" w:hAnsi="Arial"/>
          <w:b/>
          <w:bCs/>
          <w:color w:val="2E5F8A"/>
          <w:sz w:val="24"/>
          <w:szCs w:val="24"/>
        </w:rPr>
        <w:t xml:space="preserve">3.1 Rationale</w:t>
      </w:r>
    </w:p>
    <w:p>
      <w:pPr>
        <w:spacing w:after="80" w:before="80"/>
        <w:jc w:val="both"/>
      </w:pPr>
      <w:r>
        <w:rPr>
          <w:rFonts w:ascii="Arial" w:cs="Arial" w:eastAsia="Arial" w:hAnsi="Arial"/>
          <w:color w:val="1A1A1A"/>
          <w:sz w:val="22"/>
          <w:szCs w:val="22"/>
        </w:rPr>
        <w:t xml:space="preserve">Separation of Duties is a foundational IAM principle serving two purposes: preventing intentional collusion between offensive and defensive functions, and ensuring findings integrity. A Blue Team that knows the exact exploit methodology may patch too narrowly, creating a false sense of security.</w:t>
      </w:r>
    </w:p>
    <w:p>
      <w:pPr>
        <w:pStyle w:val="Heading2"/>
        <w:spacing w:after="160" w:before="300"/>
        <w:outlineLvl w:val="1"/>
      </w:pPr>
      <w:r>
        <w:rPr>
          <w:rFonts w:ascii="Arial" w:cs="Arial" w:eastAsia="Arial" w:hAnsi="Arial"/>
          <w:b/>
          <w:bCs/>
          <w:color w:val="2E5F8A"/>
          <w:sz w:val="24"/>
          <w:szCs w:val="24"/>
        </w:rPr>
        <w:t xml:space="preserve">3.2 SoD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Personnel</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individual may hold both Red Team and Blue Team roles simultaneously or sequentially within a 12-month cooling-off period.</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Systems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Red and Blue Team environments must be on physically separate networks with no cross-connect. Air-gapped where possible.</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Communications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 Team findings transmitted only via a sanitised intermediary report — never directly.</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Management</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Red and Blue Team leads must report to separate chains of command up to the CISO level.</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Audit Logs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 repositories must be write-once and inaccessible to both teams. Accessible only to Governance.</w:t>
            </w:r>
          </w:p>
        </w:tc>
      </w:tr>
    </w:tbl>
    <w:p>
      <w:pPr>
        <w:spacing w:after="120" w:before="120"/>
      </w:pPr>
    </w:p>
    <w:p>
      <w:pPr>
        <w:pStyle w:val="Heading2"/>
        <w:spacing w:after="160" w:before="300"/>
        <w:outlineLvl w:val="1"/>
      </w:pPr>
      <w:r>
        <w:rPr>
          <w:rFonts w:ascii="Arial" w:cs="Arial" w:eastAsia="Arial" w:hAnsi="Arial"/>
          <w:b/>
          <w:bCs/>
          <w:color w:val="2E5F8A"/>
          <w:sz w:val="24"/>
          <w:szCs w:val="24"/>
        </w:rPr>
        <w:t xml:space="preserve">3.3 The Vulnerability Translation Officer (VTO)</w:t>
      </w:r>
    </w:p>
    <w:p>
      <w:pPr>
        <w:spacing w:after="80" w:before="80"/>
        <w:jc w:val="both"/>
      </w:pPr>
      <w:r>
        <w:rPr>
          <w:rFonts w:ascii="Arial" w:cs="Arial" w:eastAsia="Arial" w:hAnsi="Arial"/>
          <w:color w:val="1A1A1A"/>
          <w:sz w:val="22"/>
          <w:szCs w:val="22"/>
        </w:rPr>
        <w:t xml:space="preserve">Because full exploit chains cannot be shared with the Blue Team without compromising SoD integrity, a designated Vulnerability Translation Officer (VTO) role is created. The VTO:</w:t>
      </w:r>
    </w:p>
    <w:p>
      <w:pPr>
        <w:pStyle w:val="ListParagraph"/>
        <w:numPr>
          <w:ilvl w:val="0"/>
          <w:numId w:val="2"/>
        </w:numPr>
        <w:spacing w:after="60" w:before="60"/>
      </w:pPr>
      <w:r>
        <w:rPr>
          <w:rFonts w:ascii="Arial" w:cs="Arial" w:eastAsia="Arial" w:hAnsi="Arial"/>
          <w:color w:val="1A1A1A"/>
          <w:sz w:val="22"/>
          <w:szCs w:val="22"/>
        </w:rPr>
        <w:t xml:space="preserve">Receives full Red Team findings including exploit methodology</w:t>
      </w:r>
    </w:p>
    <w:p>
      <w:pPr>
        <w:pStyle w:val="ListParagraph"/>
        <w:numPr>
          <w:ilvl w:val="0"/>
          <w:numId w:val="2"/>
        </w:numPr>
        <w:spacing w:after="60" w:before="60"/>
      </w:pPr>
      <w:r>
        <w:rPr>
          <w:rFonts w:ascii="Arial" w:cs="Arial" w:eastAsia="Arial" w:hAnsi="Arial"/>
          <w:color w:val="1A1A1A"/>
          <w:sz w:val="22"/>
          <w:szCs w:val="22"/>
        </w:rPr>
        <w:t xml:space="preserve">Produces a sanitised remediation brief — sufficient technical detail to patch, insufficient to reproduce the attack</w:t>
      </w:r>
    </w:p>
    <w:p>
      <w:pPr>
        <w:pStyle w:val="ListParagraph"/>
        <w:numPr>
          <w:ilvl w:val="0"/>
          <w:numId w:val="2"/>
        </w:numPr>
        <w:spacing w:after="60" w:before="60"/>
      </w:pPr>
      <w:r>
        <w:rPr>
          <w:rFonts w:ascii="Arial" w:cs="Arial" w:eastAsia="Arial" w:hAnsi="Arial"/>
          <w:color w:val="1A1A1A"/>
          <w:sz w:val="22"/>
          <w:szCs w:val="22"/>
        </w:rPr>
        <w:t xml:space="preserve">Is governed by a separate confidentiality agreement and dual accountability to both the CISO and Governance Committee</w:t>
      </w:r>
    </w:p>
    <w:p>
      <w:pPr>
        <w:pStyle w:val="ListParagraph"/>
        <w:numPr>
          <w:ilvl w:val="0"/>
          <w:numId w:val="2"/>
        </w:numPr>
        <w:spacing w:after="60" w:before="60"/>
      </w:pPr>
      <w:r>
        <w:rPr>
          <w:rFonts w:ascii="Arial" w:cs="Arial" w:eastAsia="Arial" w:hAnsi="Arial"/>
          <w:color w:val="1A1A1A"/>
          <w:sz w:val="22"/>
          <w:szCs w:val="22"/>
        </w:rPr>
        <w:t xml:space="preserve">Has no operational role on either team</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4. Rule 2 — Virtual Environment Mandate</w:t>
      </w:r>
    </w:p>
    <w:p>
      <w:pPr>
        <w:spacing w:after="80" w:before="80"/>
        <w:jc w:val="both"/>
      </w:pPr>
      <w:r>
        <w:rPr>
          <w:rFonts w:ascii="Arial" w:cs="Arial" w:eastAsia="Arial" w:hAnsi="Arial"/>
          <w:color w:val="1A1A1A"/>
          <w:sz w:val="22"/>
          <w:szCs w:val="22"/>
        </w:rPr>
        <w:t xml:space="preserve">All AI-assisted vulnerability discovery, exploit simulation, and zero-day analysis must occur exclusively within designated, isolated virtual environments. No findings or payloads may touch production systems at any stage.</w:t>
      </w:r>
    </w:p>
    <w:p>
      <w:pPr>
        <w:pStyle w:val="Heading2"/>
        <w:spacing w:after="160" w:before="300"/>
        <w:outlineLvl w:val="1"/>
      </w:pPr>
      <w:r>
        <w:rPr>
          <w:rFonts w:ascii="Arial" w:cs="Arial" w:eastAsia="Arial" w:hAnsi="Arial"/>
          <w:b/>
          <w:bCs/>
          <w:color w:val="2E5F8A"/>
          <w:sz w:val="24"/>
          <w:szCs w:val="24"/>
        </w:rPr>
        <w:t xml:space="preserve">4.1 Environment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Isolation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Network-isolated VM or sandbox. No internet access. No shared storage with host.</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Replication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Environments must mirror production system architecture as closely as possible.</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Snapshot Policy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environment snapshot taken before each AI session. Rollback capability mandatory.</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Data</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No real user data, credentials, or PII may exist within the virtual environment.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Expiry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environment instance is destroyed and rebuilt after each documented session.</w:t>
            </w:r>
          </w:p>
        </w:tc>
      </w:tr>
    </w:tbl>
    <w:p>
      <w:pPr>
        <w:spacing w:after="120" w:before="120"/>
      </w:pPr>
    </w:p>
    <w:p>
      <w:pPr>
        <w:pStyle w:val="Heading2"/>
        <w:spacing w:after="160" w:before="300"/>
        <w:outlineLvl w:val="1"/>
      </w:pPr>
      <w:r>
        <w:rPr>
          <w:rFonts w:ascii="Arial" w:cs="Arial" w:eastAsia="Arial" w:hAnsi="Arial"/>
          <w:b/>
          <w:bCs/>
          <w:color w:val="2E5F8A"/>
          <w:sz w:val="24"/>
          <w:szCs w:val="24"/>
        </w:rPr>
        <w:t xml:space="preserve">4.2 Device Vulnerability Exception</w:t>
      </w:r>
    </w:p>
    <w:p>
      <w:pPr>
        <w:spacing w:after="80" w:before="80"/>
        <w:jc w:val="both"/>
      </w:pPr>
      <w:r>
        <w:rPr>
          <w:rFonts w:ascii="Arial" w:cs="Arial" w:eastAsia="Arial" w:hAnsi="Arial"/>
          <w:color w:val="1A1A1A"/>
          <w:sz w:val="22"/>
          <w:szCs w:val="22"/>
        </w:rPr>
        <w:t xml:space="preserve">In the event that the AI identifies a vulnerability in a designated device itself (including the device running the virtual environment), the following emergency procedure applies:</w:t>
      </w:r>
    </w:p>
    <w:p>
      <w:pPr>
        <w:pStyle w:val="ListParagraph"/>
        <w:numPr>
          <w:ilvl w:val="0"/>
          <w:numId w:val="2"/>
        </w:numPr>
        <w:spacing w:after="60" w:before="60"/>
      </w:pPr>
      <w:r>
        <w:rPr>
          <w:rFonts w:ascii="Arial" w:cs="Arial" w:eastAsia="Arial" w:hAnsi="Arial"/>
          <w:color w:val="1A1A1A"/>
          <w:sz w:val="22"/>
          <w:szCs w:val="22"/>
        </w:rPr>
        <w:t xml:space="preserve">The session is immediately suspended and logged</w:t>
      </w:r>
    </w:p>
    <w:p>
      <w:pPr>
        <w:pStyle w:val="ListParagraph"/>
        <w:numPr>
          <w:ilvl w:val="0"/>
          <w:numId w:val="2"/>
        </w:numPr>
        <w:spacing w:after="60" w:before="60"/>
      </w:pPr>
      <w:r>
        <w:rPr>
          <w:rFonts w:ascii="Arial" w:cs="Arial" w:eastAsia="Arial" w:hAnsi="Arial"/>
          <w:color w:val="1A1A1A"/>
          <w:sz w:val="22"/>
          <w:szCs w:val="22"/>
        </w:rPr>
        <w:t xml:space="preserve">The designated device is quarantined — disconnected from all networks</w:t>
      </w:r>
    </w:p>
    <w:p>
      <w:pPr>
        <w:pStyle w:val="ListParagraph"/>
        <w:numPr>
          <w:ilvl w:val="0"/>
          <w:numId w:val="2"/>
        </w:numPr>
        <w:spacing w:after="60" w:before="60"/>
      </w:pPr>
      <w:r>
        <w:rPr>
          <w:rFonts w:ascii="Arial" w:cs="Arial" w:eastAsia="Arial" w:hAnsi="Arial"/>
          <w:color w:val="1A1A1A"/>
          <w:sz w:val="22"/>
          <w:szCs w:val="22"/>
        </w:rPr>
        <w:t xml:space="preserve">A full forensic image is taken before any remediation</w:t>
      </w:r>
    </w:p>
    <w:p>
      <w:pPr>
        <w:pStyle w:val="ListParagraph"/>
        <w:numPr>
          <w:ilvl w:val="0"/>
          <w:numId w:val="2"/>
        </w:numPr>
        <w:spacing w:after="60" w:before="60"/>
      </w:pPr>
      <w:r>
        <w:rPr>
          <w:rFonts w:ascii="Arial" w:cs="Arial" w:eastAsia="Arial" w:hAnsi="Arial"/>
          <w:color w:val="1A1A1A"/>
          <w:sz w:val="22"/>
          <w:szCs w:val="22"/>
        </w:rPr>
        <w:t xml:space="preserve">The finding is escalated directly to the Governance Committee as a Priority 1 finding</w:t>
      </w:r>
    </w:p>
    <w:p>
      <w:pPr>
        <w:pStyle w:val="ListParagraph"/>
        <w:numPr>
          <w:ilvl w:val="0"/>
          <w:numId w:val="2"/>
        </w:numPr>
        <w:spacing w:after="60" w:before="60"/>
      </w:pPr>
      <w:r>
        <w:rPr>
          <w:rFonts w:ascii="Arial" w:cs="Arial" w:eastAsia="Arial" w:hAnsi="Arial"/>
          <w:color w:val="1A1A1A"/>
          <w:sz w:val="22"/>
          <w:szCs w:val="22"/>
        </w:rPr>
        <w:t xml:space="preserve">A replacement device from verified stock is used to resume operations</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5. Rule 3 — Test and Document Only</w:t>
      </w:r>
    </w:p>
    <w:p>
      <w:pPr>
        <w:spacing w:after="80" w:before="80"/>
        <w:jc w:val="both"/>
      </w:pPr>
      <w:r>
        <w:rPr>
          <w:rFonts w:ascii="Arial" w:cs="Arial" w:eastAsia="Arial" w:hAnsi="Arial"/>
          <w:color w:val="1A1A1A"/>
          <w:sz w:val="22"/>
          <w:szCs w:val="22"/>
        </w:rPr>
        <w:t xml:space="preserve">The sole authorised purpose of AI in this framework is to identify vulnerabilities and document findings for human review. The AI has no authority to modify systems, deploy patches, or take any action outside the virtual environment.</w:t>
      </w:r>
    </w:p>
    <w:p>
      <w:pPr>
        <w:pStyle w:val="Heading2"/>
        <w:spacing w:after="160" w:before="300"/>
        <w:outlineLvl w:val="1"/>
      </w:pPr>
      <w:r>
        <w:rPr>
          <w:rFonts w:ascii="Arial" w:cs="Arial" w:eastAsia="Arial" w:hAnsi="Arial"/>
          <w:b/>
          <w:bCs/>
          <w:color w:val="2E5F8A"/>
          <w:sz w:val="24"/>
          <w:szCs w:val="24"/>
        </w:rPr>
        <w:t xml:space="preserve">5.1 Authorised AI Actions</w:t>
      </w:r>
    </w:p>
    <w:p>
      <w:pPr>
        <w:pStyle w:val="ListParagraph"/>
        <w:numPr>
          <w:ilvl w:val="0"/>
          <w:numId w:val="2"/>
        </w:numPr>
        <w:spacing w:after="60" w:before="60"/>
      </w:pPr>
      <w:r>
        <w:rPr>
          <w:rFonts w:ascii="Arial" w:cs="Arial" w:eastAsia="Arial" w:hAnsi="Arial"/>
          <w:color w:val="1A1A1A"/>
          <w:sz w:val="22"/>
          <w:szCs w:val="22"/>
        </w:rPr>
        <w:t xml:space="preserve">Scan code and system configurations for vulnerabilities</w:t>
      </w:r>
    </w:p>
    <w:p>
      <w:pPr>
        <w:pStyle w:val="ListParagraph"/>
        <w:numPr>
          <w:ilvl w:val="0"/>
          <w:numId w:val="2"/>
        </w:numPr>
        <w:spacing w:after="60" w:before="60"/>
      </w:pPr>
      <w:r>
        <w:rPr>
          <w:rFonts w:ascii="Arial" w:cs="Arial" w:eastAsia="Arial" w:hAnsi="Arial"/>
          <w:color w:val="1A1A1A"/>
          <w:sz w:val="22"/>
          <w:szCs w:val="22"/>
        </w:rPr>
        <w:t xml:space="preserve">Simulate exploit chains within the virtual environment</w:t>
      </w:r>
    </w:p>
    <w:p>
      <w:pPr>
        <w:pStyle w:val="ListParagraph"/>
        <w:numPr>
          <w:ilvl w:val="0"/>
          <w:numId w:val="2"/>
        </w:numPr>
        <w:spacing w:after="60" w:before="60"/>
      </w:pPr>
      <w:r>
        <w:rPr>
          <w:rFonts w:ascii="Arial" w:cs="Arial" w:eastAsia="Arial" w:hAnsi="Arial"/>
          <w:color w:val="1A1A1A"/>
          <w:sz w:val="22"/>
          <w:szCs w:val="22"/>
        </w:rPr>
        <w:t xml:space="preserve">Generate technical documentation of findings</w:t>
      </w:r>
    </w:p>
    <w:p>
      <w:pPr>
        <w:pStyle w:val="ListParagraph"/>
        <w:numPr>
          <w:ilvl w:val="0"/>
          <w:numId w:val="2"/>
        </w:numPr>
        <w:spacing w:after="60" w:before="60"/>
      </w:pPr>
      <w:r>
        <w:rPr>
          <w:rFonts w:ascii="Arial" w:cs="Arial" w:eastAsia="Arial" w:hAnsi="Arial"/>
          <w:color w:val="1A1A1A"/>
          <w:sz w:val="22"/>
          <w:szCs w:val="22"/>
        </w:rPr>
        <w:t xml:space="preserve">Suggest remediation approaches for Blue Team review</w:t>
      </w:r>
    </w:p>
    <w:p>
      <w:pPr>
        <w:pStyle w:val="ListParagraph"/>
        <w:numPr>
          <w:ilvl w:val="0"/>
          <w:numId w:val="2"/>
        </w:numPr>
        <w:spacing w:after="60" w:before="60"/>
      </w:pPr>
      <w:r>
        <w:rPr>
          <w:rFonts w:ascii="Arial" w:cs="Arial" w:eastAsia="Arial" w:hAnsi="Arial"/>
          <w:color w:val="1A1A1A"/>
          <w:sz w:val="22"/>
          <w:szCs w:val="22"/>
        </w:rPr>
        <w:t xml:space="preserve">Generate risk severity scoring for findings</w:t>
      </w:r>
    </w:p>
    <w:p>
      <w:pPr>
        <w:pStyle w:val="Heading2"/>
        <w:spacing w:after="160" w:before="300"/>
        <w:outlineLvl w:val="1"/>
      </w:pPr>
      <w:r>
        <w:rPr>
          <w:rFonts w:ascii="Arial" w:cs="Arial" w:eastAsia="Arial" w:hAnsi="Arial"/>
          <w:b/>
          <w:bCs/>
          <w:color w:val="2E5F8A"/>
          <w:sz w:val="24"/>
          <w:szCs w:val="24"/>
        </w:rPr>
        <w:t xml:space="preserve">5.2 Documentation Standard</w:t>
      </w:r>
    </w:p>
    <w:p>
      <w:pPr>
        <w:spacing w:after="80" w:before="80"/>
        <w:jc w:val="both"/>
      </w:pPr>
      <w:r>
        <w:rPr>
          <w:rFonts w:ascii="Arial" w:cs="Arial" w:eastAsia="Arial" w:hAnsi="Arial"/>
          <w:color w:val="1A1A1A"/>
          <w:sz w:val="22"/>
          <w:szCs w:val="22"/>
        </w:rPr>
        <w:t xml:space="preserve">Every AI session must produce a structured Vulnerability Report. Severity is assessed per CVSS 4.0 scoring.</w:t>
      </w:r>
    </w:p>
    <w:p>
      <w:pPr>
        <w:spacing w:before="40"/>
      </w:pPr>
      <w:r>
        <w:rPr>
          <w:rFonts w:ascii="Arial" w:cs="Arial" w:eastAsia="Arial" w:hAnsi="Arial"/>
          <w:sz w:val="18"/>
          <w:szCs w:val="18"/>
        </w:rPr>
        <w:t xml:space="preserve"/>
      </w:r>
      <w:r>
        <w:rPr>
          <w:rStyle w:val="FootnoteReference"/>
        </w:rPr>
        <w:footnoteReference w:id="[object Objec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Finding ID</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identifier with timestamp and session hash</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Severity</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Critical / High / Medium / Low per CVSS 4.0 scoring</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Affected Component</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software version, configuration detail</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Exploit Conditions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Prerequisites required for exploitation (Red Team report only)</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Remediation Summary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Plain-language fix guidance (Blue Team report — no exploit detail)</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AI Confidence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Model-assigned confidence score with reasoning</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Human Verifier</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role, and timestamp of human reviewer</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Disclosure Timeline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Target date for vendor notification and public disclosure</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6. Rule 4 — Access Controls (RBAC + ABAC)</w:t>
      </w:r>
    </w:p>
    <w:p>
      <w:pPr>
        <w:spacing w:after="80" w:before="80"/>
        <w:jc w:val="both"/>
      </w:pPr>
      <w:r>
        <w:rPr>
          <w:rFonts w:ascii="Arial" w:cs="Arial" w:eastAsia="Arial" w:hAnsi="Arial"/>
          <w:color w:val="1A1A1A"/>
          <w:sz w:val="22"/>
          <w:szCs w:val="22"/>
        </w:rPr>
        <w:t xml:space="preserve">Access to the AI model is governed by a dual-layer access control system combining Role-Based Access Control (RBAC) for structural permissions and Attribute-Based Access Control (ABAC) for contextual enforcement. This architecture aligns with the NIST Zero Trust Architecture framework.</w:t>
      </w:r>
    </w:p>
    <w:p>
      <w:pPr>
        <w:spacing w:before="40"/>
      </w:pPr>
      <w:r>
        <w:rPr>
          <w:rFonts w:ascii="Arial" w:cs="Arial" w:eastAsia="Arial" w:hAnsi="Arial"/>
          <w:sz w:val="18"/>
          <w:szCs w:val="18"/>
        </w:rPr>
        <w:t xml:space="preserve"/>
      </w:r>
      <w:r>
        <w:rPr>
          <w:rStyle w:val="FootnoteReference"/>
        </w:rPr>
        <w:footnoteReference w:id="[object Object]"/>
      </w:r>
    </w:p>
    <w:p>
      <w:pPr>
        <w:pStyle w:val="Heading2"/>
        <w:spacing w:after="160" w:before="300"/>
        <w:outlineLvl w:val="1"/>
      </w:pPr>
      <w:r>
        <w:rPr>
          <w:rFonts w:ascii="Arial" w:cs="Arial" w:eastAsia="Arial" w:hAnsi="Arial"/>
          <w:b/>
          <w:bCs/>
          <w:color w:val="2E5F8A"/>
          <w:sz w:val="24"/>
          <w:szCs w:val="24"/>
        </w:rPr>
        <w:t xml:space="preserve">6.1 Role Definitions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Red Team Operator</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query access within Red Team environment only. Read: Red Team findings. Write: Vulnerability Reports.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Blue Team Engineer</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AI query access within Blue Team environment only. Read: Sanitised remediation briefs. Write: Patch documentation.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Vulnerability Translation Officer</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Full Red Team reports. Write: Sanitised Blue Team briefs. No AI query access.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Governance Committee Member</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Read: All logs, all reports. No AI query access. Approve: Patch deployment, public disclosure.</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CISO</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read access. Authorise: Emergency lockdown, escalation to authorities.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System Administrator</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Environment management only. No access to AI findings or reports.</w:t>
            </w:r>
          </w:p>
        </w:tc>
      </w:tr>
    </w:tbl>
    <w:p>
      <w:pPr>
        <w:pStyle w:val="Heading2"/>
        <w:spacing w:after="160" w:before="300"/>
        <w:outlineLvl w:val="1"/>
      </w:pPr>
      <w:r>
        <w:rPr>
          <w:rFonts w:ascii="Arial" w:cs="Arial" w:eastAsia="Arial" w:hAnsi="Arial"/>
          <w:b/>
          <w:bCs/>
          <w:color w:val="2E5F8A"/>
          <w:sz w:val="24"/>
          <w:szCs w:val="24"/>
        </w:rPr>
        <w:t xml:space="preserve">6.2 Attribute-Based Enforcement (ABAC)</w:t>
      </w:r>
    </w:p>
    <w:p>
      <w:pPr>
        <w:spacing w:after="80" w:before="80"/>
        <w:jc w:val="both"/>
      </w:pPr>
      <w:r>
        <w:rPr>
          <w:rFonts w:ascii="Arial" w:cs="Arial" w:eastAsia="Arial" w:hAnsi="Arial"/>
          <w:color w:val="1A1A1A"/>
          <w:sz w:val="22"/>
          <w:szCs w:val="22"/>
        </w:rPr>
        <w:t xml:space="preserve">All AI access is additionally gated by the following real-time attributes. Access is denied if any attribute fails to meet its required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 Condition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Location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be on registered, designated premises. GPS + network verification required.</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Device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Must be the registered, designated device. Hardware fingerprint + TPM attestation.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Time Window</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permitted only within pre-approved session schedule. No ad hoc access.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MFA Status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Valid FIDO2/WebAuthn multi-factor authentication within the last 15 minutes.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Session Duration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 4-hour continuous session. Mandatory re-authentication after.</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Concurrent Sessions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Zero concurrent sessions permitted per user.</w:t>
            </w:r>
          </w:p>
        </w:tc>
      </w:tr>
    </w:tbl>
    <w:p>
      <w:pPr>
        <w:spacing w:after="120" w:before="120"/>
      </w:pPr>
    </w:p>
    <w:p>
      <w:pPr>
        <w:pStyle w:val="Heading2"/>
        <w:spacing w:after="160" w:before="300"/>
        <w:outlineLvl w:val="1"/>
      </w:pPr>
      <w:r>
        <w:rPr>
          <w:rFonts w:ascii="Arial" w:cs="Arial" w:eastAsia="Arial" w:hAnsi="Arial"/>
          <w:b/>
          <w:bCs/>
          <w:color w:val="2E5F8A"/>
          <w:sz w:val="24"/>
          <w:szCs w:val="24"/>
        </w:rPr>
        <w:t xml:space="preserve">6.3 Physical Access Controls</w:t>
      </w:r>
    </w:p>
    <w:p>
      <w:pPr>
        <w:pStyle w:val="ListParagraph"/>
        <w:numPr>
          <w:ilvl w:val="0"/>
          <w:numId w:val="2"/>
        </w:numPr>
        <w:spacing w:after="60" w:before="60"/>
      </w:pPr>
      <w:r>
        <w:rPr>
          <w:rFonts w:ascii="Arial" w:cs="Arial" w:eastAsia="Arial" w:hAnsi="Arial"/>
          <w:color w:val="1A1A1A"/>
          <w:sz w:val="22"/>
          <w:szCs w:val="22"/>
        </w:rPr>
        <w:t xml:space="preserve">Designated devices must never leave the registered premises</w:t>
      </w:r>
    </w:p>
    <w:p>
      <w:pPr>
        <w:pStyle w:val="ListParagraph"/>
        <w:numPr>
          <w:ilvl w:val="0"/>
          <w:numId w:val="2"/>
        </w:numPr>
        <w:spacing w:after="60" w:before="60"/>
      </w:pPr>
      <w:r>
        <w:rPr>
          <w:rFonts w:ascii="Arial" w:cs="Arial" w:eastAsia="Arial" w:hAnsi="Arial"/>
          <w:color w:val="1A1A1A"/>
          <w:sz w:val="22"/>
          <w:szCs w:val="22"/>
        </w:rPr>
        <w:t xml:space="preserve">Dedicated secured room with access logging (badge + biometric) for all AI sessions</w:t>
      </w:r>
    </w:p>
    <w:p>
      <w:pPr>
        <w:pStyle w:val="ListParagraph"/>
        <w:numPr>
          <w:ilvl w:val="0"/>
          <w:numId w:val="2"/>
        </w:numPr>
        <w:spacing w:after="60" w:before="60"/>
      </w:pPr>
      <w:r>
        <w:rPr>
          <w:rFonts w:ascii="Arial" w:cs="Arial" w:eastAsia="Arial" w:hAnsi="Arial"/>
          <w:color w:val="1A1A1A"/>
          <w:sz w:val="22"/>
          <w:szCs w:val="22"/>
        </w:rPr>
        <w:t xml:space="preserve">No personal devices, recording equipment, or wireless peripherals permitted in the session room</w:t>
      </w:r>
    </w:p>
    <w:p>
      <w:pPr>
        <w:pStyle w:val="ListParagraph"/>
        <w:numPr>
          <w:ilvl w:val="0"/>
          <w:numId w:val="2"/>
        </w:numPr>
        <w:spacing w:after="60" w:before="60"/>
      </w:pPr>
      <w:r>
        <w:rPr>
          <w:rFonts w:ascii="Arial" w:cs="Arial" w:eastAsia="Arial" w:hAnsi="Arial"/>
          <w:color w:val="1A1A1A"/>
          <w:sz w:val="22"/>
          <w:szCs w:val="22"/>
        </w:rPr>
        <w:t xml:space="preserve">Sessions must have a minimum of two registered personnel present (four-eyes principle)</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7. Rule 5 — Blue Team Remediation Protocol</w:t>
      </w:r>
    </w:p>
    <w:p>
      <w:pPr>
        <w:spacing w:after="80" w:before="80"/>
        <w:jc w:val="both"/>
      </w:pPr>
      <w:r>
        <w:rPr>
          <w:rFonts w:ascii="Arial" w:cs="Arial" w:eastAsia="Arial" w:hAnsi="Arial"/>
          <w:color w:val="1A1A1A"/>
          <w:sz w:val="22"/>
          <w:szCs w:val="22"/>
        </w:rPr>
        <w:t xml:space="preserve">The Blue Team's function is exclusively remediation. They receive sanitised findings from the Vulnerability Translation Officer and develop patches and hardening recommendations. All remediation is subject to human verification before deployment.</w:t>
      </w:r>
    </w:p>
    <w:p>
      <w:pPr>
        <w:pStyle w:val="Heading2"/>
        <w:spacing w:after="160" w:before="300"/>
        <w:outlineLvl w:val="1"/>
      </w:pPr>
      <w:r>
        <w:rPr>
          <w:rFonts w:ascii="Arial" w:cs="Arial" w:eastAsia="Arial" w:hAnsi="Arial"/>
          <w:b/>
          <w:bCs/>
          <w:color w:val="2E5F8A"/>
          <w:sz w:val="24"/>
          <w:szCs w:val="24"/>
        </w:rPr>
        <w:t xml:space="preserve">7.1 Remediation Workflow</w:t>
      </w:r>
    </w:p>
    <w:p>
      <w:pPr>
        <w:pStyle w:val="ListParagraph"/>
        <w:numPr>
          <w:ilvl w:val="0"/>
          <w:numId w:val="3"/>
        </w:numPr>
        <w:spacing w:after="60" w:before="60"/>
      </w:pPr>
      <w:r>
        <w:rPr>
          <w:rFonts w:ascii="Arial" w:cs="Arial" w:eastAsia="Arial" w:hAnsi="Arial"/>
          <w:color w:val="1A1A1A"/>
          <w:sz w:val="22"/>
          <w:szCs w:val="22"/>
        </w:rPr>
        <w:t xml:space="preserve">VTO produces sanitised remediation brief from Red Team finding</w:t>
      </w:r>
    </w:p>
    <w:p>
      <w:pPr>
        <w:pStyle w:val="ListParagraph"/>
        <w:numPr>
          <w:ilvl w:val="0"/>
          <w:numId w:val="3"/>
        </w:numPr>
        <w:spacing w:after="60" w:before="60"/>
      </w:pPr>
      <w:r>
        <w:rPr>
          <w:rFonts w:ascii="Arial" w:cs="Arial" w:eastAsia="Arial" w:hAnsi="Arial"/>
          <w:color w:val="1A1A1A"/>
          <w:sz w:val="22"/>
          <w:szCs w:val="22"/>
        </w:rPr>
        <w:t xml:space="preserve">Blue Team AI assists in developing patch or configuration change within its virtual environment</w:t>
      </w:r>
    </w:p>
    <w:p>
      <w:pPr>
        <w:pStyle w:val="ListParagraph"/>
        <w:numPr>
          <w:ilvl w:val="0"/>
          <w:numId w:val="3"/>
        </w:numPr>
        <w:spacing w:after="60" w:before="60"/>
      </w:pPr>
      <w:r>
        <w:rPr>
          <w:rFonts w:ascii="Arial" w:cs="Arial" w:eastAsia="Arial" w:hAnsi="Arial"/>
          <w:color w:val="1A1A1A"/>
          <w:sz w:val="22"/>
          <w:szCs w:val="22"/>
        </w:rPr>
        <w:t xml:space="preserve">Patch is tested against a production-mirror environment — not live systems</w:t>
      </w:r>
    </w:p>
    <w:p>
      <w:pPr>
        <w:pStyle w:val="ListParagraph"/>
        <w:numPr>
          <w:ilvl w:val="0"/>
          <w:numId w:val="3"/>
        </w:numPr>
        <w:spacing w:after="60" w:before="60"/>
      </w:pPr>
      <w:r>
        <w:rPr>
          <w:rFonts w:ascii="Arial" w:cs="Arial" w:eastAsia="Arial" w:hAnsi="Arial"/>
          <w:color w:val="1A1A1A"/>
          <w:sz w:val="22"/>
          <w:szCs w:val="22"/>
        </w:rPr>
        <w:t xml:space="preserve">Human verifier (minimum: Blue Team Lead) reviews patch efficacy and scope</w:t>
      </w:r>
    </w:p>
    <w:p>
      <w:pPr>
        <w:pStyle w:val="ListParagraph"/>
        <w:numPr>
          <w:ilvl w:val="0"/>
          <w:numId w:val="3"/>
        </w:numPr>
        <w:spacing w:after="60" w:before="60"/>
      </w:pPr>
      <w:r>
        <w:rPr>
          <w:rFonts w:ascii="Arial" w:cs="Arial" w:eastAsia="Arial" w:hAnsi="Arial"/>
          <w:color w:val="1A1A1A"/>
          <w:sz w:val="22"/>
          <w:szCs w:val="22"/>
        </w:rPr>
        <w:t xml:space="preserve">Governance Committee approves deployment authorisation — no AI or operator may deploy independently</w:t>
      </w:r>
    </w:p>
    <w:p>
      <w:pPr>
        <w:pStyle w:val="ListParagraph"/>
        <w:numPr>
          <w:ilvl w:val="0"/>
          <w:numId w:val="3"/>
        </w:numPr>
        <w:spacing w:after="60" w:before="60"/>
      </w:pPr>
      <w:r>
        <w:rPr>
          <w:rFonts w:ascii="Arial" w:cs="Arial" w:eastAsia="Arial" w:hAnsi="Arial"/>
          <w:color w:val="1A1A1A"/>
          <w:sz w:val="22"/>
          <w:szCs w:val="22"/>
        </w:rPr>
        <w:t xml:space="preserve">Designated system administrator deploys to production under change management controls</w:t>
      </w:r>
    </w:p>
    <w:p>
      <w:pPr>
        <w:pStyle w:val="ListParagraph"/>
        <w:numPr>
          <w:ilvl w:val="0"/>
          <w:numId w:val="3"/>
        </w:numPr>
        <w:spacing w:after="60" w:before="60"/>
      </w:pPr>
      <w:r>
        <w:rPr>
          <w:rFonts w:ascii="Arial" w:cs="Arial" w:eastAsia="Arial" w:hAnsi="Arial"/>
          <w:color w:val="1A1A1A"/>
          <w:sz w:val="22"/>
          <w:szCs w:val="22"/>
        </w:rPr>
        <w:t xml:space="preserve">Post-deployment verification: Red Team AI re-tests the patched vector (in virtual environment) to confirm closure</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8. Rule 6 — Critical Escalation Protocol</w:t>
      </w:r>
    </w:p>
    <w:p>
      <w:pPr>
        <w:spacing w:after="80" w:before="80"/>
        <w:jc w:val="both"/>
      </w:pPr>
      <w:r>
        <w:rPr>
          <w:rFonts w:ascii="Arial" w:cs="Arial" w:eastAsia="Arial" w:hAnsi="Arial"/>
          <w:color w:val="1A1A1A"/>
          <w:sz w:val="22"/>
          <w:szCs w:val="22"/>
        </w:rPr>
        <w:t xml:space="preserve">If any AI finding or active exploit simulation reveals a pathway to financial loss, critical infrastructure compromise, or risk to human life, an immediate red alert is triggered. This is a non-negotiable, automated response.</w:t>
      </w:r>
    </w:p>
    <w:p>
      <w:pPr>
        <w:pStyle w:val="Heading2"/>
        <w:spacing w:after="160" w:before="300"/>
        <w:outlineLvl w:val="1"/>
      </w:pPr>
      <w:r>
        <w:rPr>
          <w:rFonts w:ascii="Arial" w:cs="Arial" w:eastAsia="Arial" w:hAnsi="Arial"/>
          <w:b/>
          <w:bCs/>
          <w:color w:val="2E5F8A"/>
          <w:sz w:val="24"/>
          <w:szCs w:val="24"/>
        </w:rPr>
        <w:t xml:space="preserve">8.1 Red Alert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Examples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Financial System Vulnerability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Banking core systems, payment processing, financial market infrastructure</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Human Life Risk</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Hospital systems, power grid, water treatment, aviation, emergency services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National Security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Defence infrastructure, intelligence systems, election infrastructure</w:t>
            </w:r>
          </w:p>
        </w:tc>
      </w:tr>
    </w:tbl>
    <w:p>
      <w:pPr>
        <w:pStyle w:val="Heading2"/>
        <w:spacing w:after="160" w:before="300"/>
        <w:outlineLvl w:val="1"/>
      </w:pPr>
      <w:r>
        <w:rPr>
          <w:rFonts w:ascii="Arial" w:cs="Arial" w:eastAsia="Arial" w:hAnsi="Arial"/>
          <w:b/>
          <w:bCs/>
          <w:color w:val="2E5F8A"/>
          <w:sz w:val="24"/>
          <w:szCs w:val="24"/>
        </w:rPr>
        <w:t xml:space="preserve">8.2 Automated Red Alert Response (T+0 to T+5 minutes)</w:t>
      </w:r>
    </w:p>
    <w:p>
      <w:pPr>
        <w:pStyle w:val="ListParagraph"/>
        <w:numPr>
          <w:ilvl w:val="0"/>
          <w:numId w:val="2"/>
        </w:numPr>
        <w:spacing w:after="60" w:before="60"/>
      </w:pPr>
      <w:r>
        <w:rPr>
          <w:rFonts w:ascii="Arial" w:cs="Arial" w:eastAsia="Arial" w:hAnsi="Arial"/>
          <w:color w:val="1A1A1A"/>
          <w:sz w:val="22"/>
          <w:szCs w:val="22"/>
        </w:rPr>
        <w:t xml:space="preserve">AI session immediately suspended and locked — no further queries accepted</w:t>
      </w:r>
    </w:p>
    <w:p>
      <w:pPr>
        <w:pStyle w:val="ListParagraph"/>
        <w:numPr>
          <w:ilvl w:val="0"/>
          <w:numId w:val="2"/>
        </w:numPr>
        <w:spacing w:after="60" w:before="60"/>
      </w:pPr>
      <w:r>
        <w:rPr>
          <w:rFonts w:ascii="Arial" w:cs="Arial" w:eastAsia="Arial" w:hAnsi="Arial"/>
          <w:color w:val="1A1A1A"/>
          <w:sz w:val="22"/>
          <w:szCs w:val="22"/>
        </w:rPr>
        <w:t xml:space="preserve">Virtual environment snapshot frozen and cryptographically sealed</w:t>
      </w:r>
    </w:p>
    <w:p>
      <w:pPr>
        <w:pStyle w:val="ListParagraph"/>
        <w:numPr>
          <w:ilvl w:val="0"/>
          <w:numId w:val="2"/>
        </w:numPr>
        <w:spacing w:after="60" w:before="60"/>
      </w:pPr>
      <w:r>
        <w:rPr>
          <w:rFonts w:ascii="Arial" w:cs="Arial" w:eastAsia="Arial" w:hAnsi="Arial"/>
          <w:color w:val="1A1A1A"/>
          <w:sz w:val="22"/>
          <w:szCs w:val="22"/>
        </w:rPr>
        <w:t xml:space="preserve">All network access to designated devices suspended automatically</w:t>
      </w:r>
    </w:p>
    <w:p>
      <w:pPr>
        <w:pStyle w:val="ListParagraph"/>
        <w:numPr>
          <w:ilvl w:val="0"/>
          <w:numId w:val="2"/>
        </w:numPr>
        <w:spacing w:after="60" w:before="60"/>
      </w:pPr>
      <w:r>
        <w:rPr>
          <w:rFonts w:ascii="Arial" w:cs="Arial" w:eastAsia="Arial" w:hAnsi="Arial"/>
          <w:color w:val="1A1A1A"/>
          <w:sz w:val="22"/>
          <w:szCs w:val="22"/>
        </w:rPr>
        <w:t xml:space="preserve">Detailed incident report auto-generated and transmitted to Governance Committee</w:t>
      </w:r>
    </w:p>
    <w:p>
      <w:pPr>
        <w:pStyle w:val="ListParagraph"/>
        <w:numPr>
          <w:ilvl w:val="0"/>
          <w:numId w:val="2"/>
        </w:numPr>
        <w:spacing w:after="60" w:before="60"/>
      </w:pPr>
      <w:r>
        <w:rPr>
          <w:rFonts w:ascii="Arial" w:cs="Arial" w:eastAsia="Arial" w:hAnsi="Arial"/>
          <w:color w:val="1A1A1A"/>
          <w:sz w:val="22"/>
          <w:szCs w:val="22"/>
        </w:rPr>
        <w:t xml:space="preserve">CISO notified via out-of-band channel</w:t>
      </w:r>
    </w:p>
    <w:p>
      <w:pPr>
        <w:pStyle w:val="Heading2"/>
        <w:spacing w:after="160" w:before="300"/>
        <w:outlineLvl w:val="1"/>
      </w:pPr>
      <w:r>
        <w:rPr>
          <w:rFonts w:ascii="Arial" w:cs="Arial" w:eastAsia="Arial" w:hAnsi="Arial"/>
          <w:b/>
          <w:bCs/>
          <w:color w:val="2E5F8A"/>
          <w:sz w:val="24"/>
          <w:szCs w:val="24"/>
        </w:rPr>
        <w:t xml:space="preserve">8.3 Human Escalation Chain (T+5 to T+60 minutes)</w:t>
      </w:r>
    </w:p>
    <w:p>
      <w:pPr>
        <w:pStyle w:val="ListParagraph"/>
        <w:numPr>
          <w:ilvl w:val="0"/>
          <w:numId w:val="2"/>
        </w:numPr>
        <w:spacing w:after="60" w:before="60"/>
      </w:pPr>
      <w:r>
        <w:rPr>
          <w:rFonts w:ascii="Arial" w:cs="Arial" w:eastAsia="Arial" w:hAnsi="Arial"/>
          <w:color w:val="1A1A1A"/>
          <w:sz w:val="22"/>
          <w:szCs w:val="22"/>
        </w:rPr>
        <w:t xml:space="preserve">Governance Committee convenes emergency session — target: within 15 minutes of alert</w:t>
      </w:r>
    </w:p>
    <w:p>
      <w:pPr>
        <w:pStyle w:val="ListParagraph"/>
        <w:numPr>
          <w:ilvl w:val="0"/>
          <w:numId w:val="2"/>
        </w:numPr>
        <w:spacing w:after="60" w:before="60"/>
      </w:pPr>
      <w:r>
        <w:rPr>
          <w:rFonts w:ascii="Arial" w:cs="Arial" w:eastAsia="Arial" w:hAnsi="Arial"/>
          <w:color w:val="1A1A1A"/>
          <w:sz w:val="22"/>
          <w:szCs w:val="22"/>
        </w:rPr>
        <w:t xml:space="preserve">CISO assesses scope and authorises notification to affected organisations</w:t>
      </w:r>
    </w:p>
    <w:p>
      <w:pPr>
        <w:pStyle w:val="ListParagraph"/>
        <w:numPr>
          <w:ilvl w:val="0"/>
          <w:numId w:val="2"/>
        </w:numPr>
        <w:spacing w:after="60" w:before="60"/>
      </w:pPr>
      <w:r>
        <w:rPr>
          <w:rFonts w:ascii="Arial" w:cs="Arial" w:eastAsia="Arial" w:hAnsi="Arial"/>
          <w:color w:val="1A1A1A"/>
          <w:sz w:val="22"/>
          <w:szCs w:val="22"/>
        </w:rPr>
        <w:t xml:space="preserve">Legal counsel engaged for regulatory notification obligations (within applicable timeframes)</w:t>
      </w:r>
    </w:p>
    <w:p>
      <w:pPr>
        <w:pStyle w:val="ListParagraph"/>
        <w:numPr>
          <w:ilvl w:val="0"/>
          <w:numId w:val="2"/>
        </w:numPr>
        <w:spacing w:after="60" w:before="60"/>
      </w:pPr>
      <w:r>
        <w:rPr>
          <w:rFonts w:ascii="Arial" w:cs="Arial" w:eastAsia="Arial" w:hAnsi="Arial"/>
          <w:color w:val="1A1A1A"/>
          <w:sz w:val="22"/>
          <w:szCs w:val="22"/>
        </w:rPr>
        <w:t xml:space="preserve">Law enforcement notification if criminal exploitation is confirmed or suspected</w:t>
      </w:r>
    </w:p>
    <w:p>
      <w:pPr>
        <w:pStyle w:val="ListParagraph"/>
        <w:numPr>
          <w:ilvl w:val="0"/>
          <w:numId w:val="2"/>
        </w:numPr>
        <w:spacing w:after="60" w:before="60"/>
      </w:pPr>
      <w:r>
        <w:rPr>
          <w:rFonts w:ascii="Arial" w:cs="Arial" w:eastAsia="Arial" w:hAnsi="Arial"/>
          <w:color w:val="1A1A1A"/>
          <w:sz w:val="22"/>
          <w:szCs w:val="22"/>
        </w:rPr>
        <w:t xml:space="preserve">Responsible disclosure timeline accelerated — 90-day standard window suspended for life/safety risks</w:t>
      </w:r>
    </w:p>
    <w:p>
      <w:pPr>
        <w:spacing w:after="120" w:before="80"/>
      </w:pPr>
    </w:p>
    <w:p>
      <w:pPr>
        <w:spacing w:after="80" w:before="40"/>
      </w:pPr>
      <w:r>
        <w:rPr>
          <w:rFonts w:ascii="Arial" w:cs="Arial" w:eastAsia="Arial" w:hAnsi="Arial"/>
          <w:i/>
          <w:iCs/>
          <w:color w:val="5A6A7A"/>
          <w:sz w:val="20"/>
          <w:szCs w:val="20"/>
        </w:rPr>
        <w:t xml:space="preserve">The 90-day responsible disclosure standard follows the Google Project Zero industry benchmark.</w:t>
      </w:r>
      <w:r>
        <w:rPr>
          <w:rStyle w:val="FootnoteReference"/>
        </w:rPr>
        <w:footnoteReference w:id="[object Objec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5F8A" w:sz="3"/>
              <w:left w:val="single" w:color="2E5F8A" w:sz="3"/>
              <w:bottom w:val="single" w:color="2E5F8A" w:sz="3"/>
              <w:right w:val="none" w:color="FFFFFF" w:sz="0"/>
            </w:tcBorders>
            <w:shd w:fill="2E5F8A"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2E5F8A" w:sz="3"/>
              <w:left w:val="none" w:color="FFFFFF" w:sz="0"/>
              <w:bottom w:val="single" w:color="2E5F8A" w:sz="3"/>
              <w:right w:val="single" w:color="2E5F8A" w:sz="3"/>
            </w:tcBorders>
            <w:shd w:fill="E8EFF7" w:val="clear"/>
            <w:tcMar>
              <w:top w:type="dxa" w:w="80"/>
              <w:left w:type="dxa" w:w="160"/>
              <w:bottom w:type="dxa" w:w="80"/>
              <w:right w:type="dxa" w:w="120"/>
            </w:tcMar>
          </w:tcPr>
          <w:p>
            <w:r>
              <w:rPr>
                <w:rFonts w:ascii="Arial" w:cs="Arial" w:eastAsia="Arial" w:hAnsi="Arial"/>
                <w:b/>
                <w:bCs/>
                <w:color w:val="2E5F8A"/>
                <w:sz w:val="20"/>
                <w:szCs w:val="20"/>
              </w:rPr>
              <w:t xml:space="preserve">SLA COMMITMENT</w:t>
            </w:r>
          </w:p>
          <w:p>
            <w:pPr>
              <w:spacing w:before="40"/>
            </w:pPr>
            <w:r>
              <w:rPr>
                <w:rFonts w:ascii="Arial" w:cs="Arial" w:eastAsia="Arial" w:hAnsi="Arial"/>
                <w:color w:val="1A1A1A"/>
                <w:sz w:val="20"/>
                <w:szCs w:val="20"/>
              </w:rPr>
              <w:t xml:space="preserve">Response SLA: Governance Committee must formally acknowledge Red Alert within 15 minutes. CISO must authorise an action plan within 60 minutes. Failure to meet SLA triggers automatic escalation to board level.</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9. Rule 7 — The Common Sense Principle</w:t>
      </w:r>
    </w:p>
    <w:p>
      <w:pPr>
        <w:spacing w:after="80" w:before="80"/>
        <w:jc w:val="both"/>
      </w:pPr>
      <w:r>
        <w:rPr>
          <w:rFonts w:ascii="Arial" w:cs="Arial" w:eastAsia="Arial" w:hAnsi="Arial"/>
          <w:color w:val="1A1A1A"/>
          <w:sz w:val="22"/>
          <w:szCs w:val="22"/>
        </w:rPr>
        <w:t xml:space="preserve">Underpinning all technical controls is a foundational ethical principle: this system exists to help, not to destroy. No technical architecture fully substitutes for human judgement and ethical intent.</w:t>
      </w:r>
    </w:p>
    <w:p>
      <w:pPr>
        <w:pStyle w:val="Heading2"/>
        <w:spacing w:after="160" w:before="300"/>
        <w:outlineLvl w:val="1"/>
      </w:pPr>
      <w:r>
        <w:rPr>
          <w:rFonts w:ascii="Arial" w:cs="Arial" w:eastAsia="Arial" w:hAnsi="Arial"/>
          <w:b/>
          <w:bCs/>
          <w:color w:val="2E5F8A"/>
          <w:sz w:val="24"/>
          <w:szCs w:val="24"/>
        </w:rPr>
        <w:t xml:space="preserve">9.1 Operationalising Common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 — Ethical System Prompt</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AI model must operate under a system prompt that explicitly frames its role as a defensive security tool. This prompt is reviewed quarterly by the Governance Committee and is not modifiable by operators.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B — Proportionality Test</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Before any AI session, operators must document a specific, scoped objective. The Governance Committee may reject session requests that appear disproportionate to the stated defensive need.</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 — Regular Ethics Audits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 independent ethics panel (including external cybersecurity experts and legal counsel) conducts quarterly reviews of all findings, session logs, and escalation events.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D — Whistleblower Protection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Any registered operator who believes the framework is being misused has a protected channel to report concerns directly to the Governance Committee and, if necessary, to regulatory authorities — with guaranteed protection from retaliation.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 — Sunset Review</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This framework is subject to mandatory review every 6 months. As AI capabilities evolve, governance must evolve with them.</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10. IAM Architecture Summary</w:t>
      </w:r>
    </w:p>
    <w:p>
      <w:pPr>
        <w:spacing w:after="80" w:before="80"/>
        <w:jc w:val="both"/>
      </w:pPr>
      <w:r>
        <w:rPr>
          <w:rFonts w:ascii="Arial" w:cs="Arial" w:eastAsia="Arial" w:hAnsi="Arial"/>
          <w:color w:val="1A1A1A"/>
          <w:sz w:val="22"/>
          <w:szCs w:val="22"/>
        </w:rPr>
        <w:t xml:space="preserve">The identity and access management architecture underpinning this framework integrates the following components. The architecture aligns with ISO/IEC 27001:2022 and the NIST Cybersecurity Framework 2.0.</w:t>
      </w:r>
    </w:p>
    <w:p>
      <w:pPr>
        <w:spacing w:before="40"/>
      </w:pPr>
      <w:r>
        <w:rPr>
          <w:rFonts w:ascii="Arial" w:cs="Arial" w:eastAsia="Arial" w:hAnsi="Arial"/>
          <w:sz w:val="18"/>
          <w:szCs w:val="18"/>
        </w:rPr>
        <w:t xml:space="preserve"/>
      </w:r>
      <w:r>
        <w:rPr>
          <w:rStyle w:val="FootnoteReference"/>
        </w:rPr>
        <w:footnoteReference w:id="[object Object]"/>
      </w:r>
      <w:r>
        <w:rPr>
          <w:rStyle w:val="FootnoteReference"/>
        </w:rPr>
        <w:footnoteReference w:id="[object Objec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IAM Component</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Identity Provider (IdP)</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Federated, hardware-backed identity with PKI certificate per user. No shared accounts.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MFA</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Hardware security key (FIDO2/WebAuthn) mandatory. No SMS or app-based OTP.</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Privileged Access Management (PAM)</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AI sessions conducted via PAM solution with session recording and keystroke logging.</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Just-In-Time Access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Role elevation is time-limited to the approved session window. Roles expire automatically.</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Zero Trust Network</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implicit trust. Every access request verified against RBAC + ABAC policy in real time.</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Certificate Lifecycle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Device certificates rotated every 90 days. Revocation via OCSP checked at session start.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Audit Logging</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WORM (Write Once Read Many) logging. Logs signed with HSM key. Tamper-evident.</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Privileged Session Management</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Video and keystroke capture of all AI interactions. Stored for minimum 7 years.</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11. References</w:t>
      </w:r>
    </w:p>
    <w:p>
      <w:pPr>
        <w:spacing w:after="80" w:before="80"/>
        <w:jc w:val="both"/>
      </w:pPr>
      <w:r>
        <w:rPr>
          <w:rFonts w:ascii="Arial" w:cs="Arial" w:eastAsia="Arial" w:hAnsi="Arial"/>
          <w:color w:val="1A1A1A"/>
          <w:sz w:val="22"/>
          <w:szCs w:val="22"/>
        </w:rPr>
        <w:t xml:space="preserve">The following authoritative sources inform this framework. Citations follow the Chicago Manual of Style (17th edition).</w:t>
      </w:r>
    </w:p>
    <w:p>
      <w:pPr>
        <w:spacing w:after="120" w:before="80"/>
      </w:pPr>
    </w:p>
    <w:p>
      <w:pPr>
        <w:spacing w:after="80" w:before="80"/>
        <w:ind w:left="360" w:hanging="360"/>
      </w:pPr>
      <w:r>
        <w:rPr>
          <w:rFonts w:ascii="Arial" w:cs="Arial" w:eastAsia="Arial" w:hAnsi="Arial"/>
          <w:color w:val="1A1A1A"/>
          <w:sz w:val="20"/>
          <w:szCs w:val="20"/>
        </w:rPr>
        <w:t xml:space="preserve">1.  National Institute of Standards and Technology, "Cybersecurity Framework 2.0," NIST, February 2024, https://www.nist.gov/cyberframework.</w:t>
      </w:r>
    </w:p>
    <w:p>
      <w:pPr>
        <w:spacing w:after="80" w:before="80"/>
        <w:ind w:left="360" w:hanging="360"/>
      </w:pPr>
      <w:r>
        <w:rPr>
          <w:rFonts w:ascii="Arial" w:cs="Arial" w:eastAsia="Arial" w:hAnsi="Arial"/>
          <w:color w:val="1A1A1A"/>
          <w:sz w:val="20"/>
          <w:szCs w:val="20"/>
        </w:rPr>
        <w:t xml:space="preserve">2.  National Institute of Standards and Technology, "Zero Trust Architecture," NIST Special Publication 800-207, August 2020, https://doi.org/10.6028/NIST.SP.800-207.</w:t>
      </w:r>
    </w:p>
    <w:p>
      <w:pPr>
        <w:spacing w:after="80" w:before="80"/>
        <w:ind w:left="360" w:hanging="360"/>
      </w:pPr>
      <w:r>
        <w:rPr>
          <w:rFonts w:ascii="Arial" w:cs="Arial" w:eastAsia="Arial" w:hAnsi="Arial"/>
          <w:color w:val="1A1A1A"/>
          <w:sz w:val="20"/>
          <w:szCs w:val="20"/>
        </w:rPr>
        <w:t xml:space="preserve">3.  Google Project Zero, "Vulnerability Disclosure FAQ," Google, 2021, https://googleprojectzero.blogspot.com/p/vulnerability-disclosure-faq.html.</w:t>
      </w:r>
    </w:p>
    <w:p>
      <w:pPr>
        <w:spacing w:after="80" w:before="80"/>
        <w:ind w:left="360" w:hanging="360"/>
      </w:pPr>
      <w:r>
        <w:rPr>
          <w:rFonts w:ascii="Arial" w:cs="Arial" w:eastAsia="Arial" w:hAnsi="Arial"/>
          <w:color w:val="1A1A1A"/>
          <w:sz w:val="20"/>
          <w:szCs w:val="20"/>
        </w:rPr>
        <w:t xml:space="preserve">4.  FIRST.org, "Common Vulnerability Scoring System v4.0: Specification Document," FIRST, November 2023, https://www.first.org/cvss/v4.0/specification-document.</w:t>
      </w:r>
    </w:p>
    <w:p>
      <w:pPr>
        <w:spacing w:after="80" w:before="80"/>
        <w:ind w:left="360" w:hanging="360"/>
      </w:pPr>
      <w:r>
        <w:rPr>
          <w:rFonts w:ascii="Arial" w:cs="Arial" w:eastAsia="Arial" w:hAnsi="Arial"/>
          <w:color w:val="1A1A1A"/>
          <w:sz w:val="20"/>
          <w:szCs w:val="20"/>
        </w:rPr>
        <w:t xml:space="preserve">5.  FIDO Alliance, "FIDO2: WebAuthn &amp; CTAP," FIDO Alliance, 2023, https://fidoalliance.org/fido2/.</w:t>
      </w:r>
    </w:p>
    <w:p>
      <w:pPr>
        <w:spacing w:after="80" w:before="80"/>
        <w:ind w:left="360" w:hanging="360"/>
      </w:pPr>
      <w:r>
        <w:rPr>
          <w:rFonts w:ascii="Arial" w:cs="Arial" w:eastAsia="Arial" w:hAnsi="Arial"/>
          <w:color w:val="1A1A1A"/>
          <w:sz w:val="20"/>
          <w:szCs w:val="20"/>
        </w:rPr>
        <w:t xml:space="preserve">6.  International Organization for Standardization, "ISO/IEC 27001:2022 — Information Security, Cybersecurity and Privacy Protection," ISO, 2022, https://www.iso.org/standard/27001.</w:t>
      </w:r>
    </w:p>
    <w:p>
      <w:pPr>
        <w:spacing w:after="80" w:before="80"/>
        <w:ind w:left="360" w:hanging="360"/>
      </w:pPr>
      <w:r>
        <w:rPr>
          <w:rFonts w:ascii="Arial" w:cs="Arial" w:eastAsia="Arial" w:hAnsi="Arial"/>
          <w:color w:val="1A1A1A"/>
          <w:sz w:val="20"/>
          <w:szCs w:val="20"/>
        </w:rPr>
        <w:t xml:space="preserve">7.  Indian Computer Emergency Response Team (CERT-In), "Directions under sub-section (6) of Section 70B of the Information Technology Act, 2000 relating to information security practices, procedure, prevention, response and reporting of cyber incidents," Ministry of Electronics and Information Technology, Government of India, April 2022, https://www.cert-in.org.in/Directions70B.jsp.</w:t>
      </w:r>
    </w:p>
    <w:p>
      <w:pPr>
        <w:spacing w:after="80" w:before="80"/>
        <w:ind w:left="360" w:hanging="360"/>
      </w:pPr>
      <w:r>
        <w:rPr>
          <w:rFonts w:ascii="Arial" w:cs="Arial" w:eastAsia="Arial" w:hAnsi="Arial"/>
          <w:color w:val="1A1A1A"/>
          <w:sz w:val="20"/>
          <w:szCs w:val="20"/>
        </w:rPr>
        <w:t xml:space="preserve">8.  Ministry of Law and Justice, Government of India, "The Information Technology Act, 2000 (Act 21 of 2000)," Gazette of India, June 2000, as amended by the Information Technology (Amendment) Act 2008.</w:t>
      </w:r>
    </w:p>
    <w:p>
      <w:pPr>
        <w:spacing w:after="120" w:before="120"/>
      </w:pPr>
    </w:p>
    <w:p>
      <w:pPr>
        <w:pBdr>
          <w:bottom w:val="single" w:color="2E5F8A" w:sz="6" w:space="1"/>
        </w:pBdr>
        <w:spacing w:after="160" w:before="160"/>
      </w:pPr>
    </w:p>
    <w:p>
      <w:pPr>
        <w:jc w:val="center"/>
      </w:pPr>
      <w:r>
        <w:rPr>
          <w:rFonts w:ascii="Arial" w:cs="Arial" w:eastAsia="Arial" w:hAnsi="Arial"/>
          <w:b/>
          <w:bCs/>
          <w:color w:val="5A6A7A"/>
          <w:sz w:val="20"/>
          <w:szCs w:val="20"/>
        </w:rPr>
        <w:t xml:space="preserve">END OF DOCUMENT — Framework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2"/>
      </w:pBdr>
      <w:tabs>
        <w:tab w:val="right" w:pos="9360"/>
      </w:tabs>
      <w:spacing w:before="100"/>
    </w:pPr>
    <w:r>
      <w:rPr>
        <w:rFonts w:ascii="Arial" w:cs="Arial" w:eastAsia="Arial" w:hAnsi="Arial"/>
        <w:color w:val="5A6A7A"/>
        <w:sz w:val="18"/>
        <w:szCs w:val="18"/>
      </w:rPr>
      <w:t xml:space="preserve">Ikshudhanva P L  |  April 2026</w:t>
    </w:r>
    <w:r>
      <w:rPr>
        <w:rFonts w:ascii="Arial" w:cs="Arial" w:eastAsia="Arial" w:hAnsi="Arial"/>
        <w:sz w:val="18"/>
        <w:szCs w:val="18"/>
      </w:rPr>
      <w:t xml:space="preserve">	</w:t>
    </w:r>
    <w:r>
      <w:rPr>
        <w:rFonts w:ascii="Arial" w:cs="Arial" w:eastAsia="Arial" w:hAnsi="Arial"/>
        <w:color w:val="5A6A7A"/>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before="40"/>
      </w:pPr>
      <w:r>
        <w:rPr>
          <w:rStyle w:val="FootnoteReference"/>
        </w:rPr>
        <w:footnoteRef/>
      </w:r>
      <w:r>
        <w:rPr>
          <w:rFonts w:ascii="Arial" w:cs="Arial" w:eastAsia="Arial" w:hAnsi="Arial"/>
          <w:color w:val="5A6A7A"/>
          <w:sz w:val="18"/>
          <w:szCs w:val="18"/>
        </w:rPr>
        <w:t xml:space="preserve">National Institute of Standards and Technology, "Cybersecurity Framework 2.0," NIST, February 2024, https://www.nist.gov/cyberframework.</w:t>
      </w:r>
    </w:p>
  </w:footnote>
  <w:footnote w:id="2">
    <w:p>
      <w:pPr>
        <w:spacing w:after="40" w:before="40"/>
      </w:pPr>
      <w:r>
        <w:rPr>
          <w:rStyle w:val="FootnoteReference"/>
        </w:rPr>
        <w:footnoteRef/>
      </w:r>
      <w:r>
        <w:rPr>
          <w:rFonts w:ascii="Arial" w:cs="Arial" w:eastAsia="Arial" w:hAnsi="Arial"/>
          <w:color w:val="5A6A7A"/>
          <w:sz w:val="18"/>
          <w:szCs w:val="18"/>
        </w:rPr>
        <w:t xml:space="preserve">National Institute of Standards and Technology, "Zero Trust Architecture," NIST Special Publication 800-207, August 2020, https://doi.org/10.6028/NIST.SP.800-207.</w:t>
      </w:r>
    </w:p>
  </w:footnote>
  <w:footnote w:id="3">
    <w:p>
      <w:pPr>
        <w:spacing w:after="40" w:before="40"/>
      </w:pPr>
      <w:r>
        <w:rPr>
          <w:rStyle w:val="FootnoteReference"/>
        </w:rPr>
        <w:footnoteRef/>
      </w:r>
      <w:r>
        <w:rPr>
          <w:rFonts w:ascii="Arial" w:cs="Arial" w:eastAsia="Arial" w:hAnsi="Arial"/>
          <w:color w:val="5A6A7A"/>
          <w:sz w:val="18"/>
          <w:szCs w:val="18"/>
        </w:rPr>
        <w:t xml:space="preserve">Google Project Zero, "Vulnerability Disclosure FAQ," Google, 2021, https://googleprojectzero.blogspot.com/p/vulnerability-disclosure-faq.html.</w:t>
      </w:r>
    </w:p>
  </w:footnote>
  <w:footnote w:id="4">
    <w:p>
      <w:pPr>
        <w:spacing w:after="40" w:before="40"/>
      </w:pPr>
      <w:r>
        <w:rPr>
          <w:rStyle w:val="FootnoteReference"/>
        </w:rPr>
        <w:footnoteRef/>
      </w:r>
      <w:r>
        <w:rPr>
          <w:rFonts w:ascii="Arial" w:cs="Arial" w:eastAsia="Arial" w:hAnsi="Arial"/>
          <w:color w:val="5A6A7A"/>
          <w:sz w:val="18"/>
          <w:szCs w:val="18"/>
        </w:rPr>
        <w:t xml:space="preserve">FIRST.org, "Common Vulnerability Scoring System v4.0: Specification Document," FIRST, November 2023, https://www.first.org/cvss/v4.0/specification-document.</w:t>
      </w:r>
    </w:p>
  </w:footnote>
  <w:footnote w:id="5">
    <w:p>
      <w:pPr>
        <w:spacing w:after="40" w:before="40"/>
      </w:pPr>
      <w:r>
        <w:rPr>
          <w:rStyle w:val="FootnoteReference"/>
        </w:rPr>
        <w:footnoteRef/>
      </w:r>
      <w:r>
        <w:rPr>
          <w:rFonts w:ascii="Arial" w:cs="Arial" w:eastAsia="Arial" w:hAnsi="Arial"/>
          <w:color w:val="5A6A7A"/>
          <w:sz w:val="18"/>
          <w:szCs w:val="18"/>
        </w:rPr>
        <w:t xml:space="preserve">FIDO Alliance, "FIDO2: WebAuthn &amp; CTAP," FIDO Alliance, 2023, https://fidoalliance.org/fido2/.</w:t>
      </w:r>
    </w:p>
  </w:footnote>
  <w:footnote w:id="6">
    <w:p>
      <w:pPr>
        <w:spacing w:after="40" w:before="40"/>
      </w:pPr>
      <w:r>
        <w:rPr>
          <w:rStyle w:val="FootnoteReference"/>
        </w:rPr>
        <w:footnoteRef/>
      </w:r>
      <w:r>
        <w:rPr>
          <w:rFonts w:ascii="Arial" w:cs="Arial" w:eastAsia="Arial" w:hAnsi="Arial"/>
          <w:color w:val="5A6A7A"/>
          <w:sz w:val="18"/>
          <w:szCs w:val="18"/>
        </w:rPr>
        <w:t xml:space="preserve">International Organization for Standardization, "ISO/IEC 27001:2022 — Information Security, Cybersecurity and Privacy Protection," ISO, 2022, https://www.iso.org/standard/27001.</w:t>
      </w:r>
    </w:p>
  </w:footnote>
  <w:footnote w:id="9">
    <w:p>
      <w:pPr>
        <w:spacing w:after="40" w:before="40"/>
      </w:pPr>
      <w:r>
        <w:rPr>
          <w:rStyle w:val="FootnoteReference"/>
        </w:rPr>
        <w:footnoteRef/>
      </w:r>
      <w:r>
        <w:rPr>
          <w:rFonts w:ascii="Arial" w:cs="Arial" w:eastAsia="Arial" w:hAnsi="Arial"/>
          <w:color w:val="5A6A7A"/>
          <w:sz w:val="18"/>
          <w:szCs w:val="18"/>
        </w:rPr>
        <w:t xml:space="preserve">Indian Computer Emergency Response Team (CERT-In), "Directions under sub-section (6) of Section 70B of the Information Technology Act, 2000 relating to information security practices, procedure, prevention, response and reporting of cyber incidents," Ministry of Electronics and Information Technology, Government of India, April 2022, https://www.cert-in.org.in/Directions70B.jsp.</w:t>
      </w:r>
    </w:p>
  </w:footnote>
  <w:footnote w:id="18">
    <w:p>
      <w:pPr>
        <w:spacing w:after="40" w:before="40"/>
      </w:pPr>
      <w:r>
        <w:rPr>
          <w:rStyle w:val="FootnoteReference"/>
        </w:rPr>
        <w:footnoteRef/>
      </w:r>
      <w:r>
        <w:rPr>
          <w:rFonts w:ascii="Arial" w:cs="Arial" w:eastAsia="Arial" w:hAnsi="Arial"/>
          <w:color w:val="5A6A7A"/>
          <w:sz w:val="18"/>
          <w:szCs w:val="18"/>
        </w:rPr>
        <w:t xml:space="preserve">Ministry of Law and Justice, Government of India, "The Information Technology Act, 2000 (Act 21 of 2000)," Gazette of India, June 2000, as amended by the Information Technology (Amendment) Act 2008.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2"/>
      </w:pBdr>
      <w:spacing w:after="100"/>
    </w:pPr>
    <w:r>
      <w:rPr>
        <w:rFonts w:ascii="Arial" w:cs="Arial" w:eastAsia="Arial" w:hAnsi="Arial"/>
        <w:color w:val="5A6A7A"/>
        <w:sz w:val="18"/>
        <w:szCs w:val="18"/>
      </w:rPr>
      <w:t xml:space="preserve">AI-Enabled Cybersecurity Governance Framework  |  v1.0  |  Restricted — Registered Industry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2E5F8A"/>
      <w:sz w:val="24"/>
      <w:szCs w:val="24"/>
    </w:rPr>
  </w:style>
  <w:style w:type="paragraph" w:styleId="Heading3">
    <w:name w:val="Heading 3"/>
    <w:basedOn w:val="Normal"/>
    <w:next w:val="Normal"/>
    <w:qFormat/>
    <w:pPr>
      <w:spacing w:after="120" w:before="240"/>
      <w:outlineLvl w:val="2"/>
    </w:pPr>
    <w:rPr>
      <w:rFonts w:ascii="Arial" w:cs="Arial" w:eastAsia="Arial" w:hAnsi="Arial"/>
      <w:b/>
      <w:bCs/>
      <w:color w:val="4A6B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2026-04-13T09:48:29.233Z</dcterms:created>
  <dcterms:modified xsi:type="dcterms:W3CDTF">2026-04-13T09:48:29.234Z</dcterms:modified>
</cp:coreProperties>
</file>

<file path=docProps/custom.xml><?xml version="1.0" encoding="utf-8"?>
<Properties xmlns="http://schemas.openxmlformats.org/officeDocument/2006/custom-properties" xmlns:vt="http://schemas.openxmlformats.org/officeDocument/2006/docPropsVTypes"/>
</file>