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4805680</wp:posOffset>
            </wp:positionH>
            <wp:positionV relativeFrom="paragraph">
              <wp:posOffset>-414020</wp:posOffset>
            </wp:positionV>
            <wp:extent cx="1304290" cy="1104900"/>
            <wp:effectExtent l="19050" t="0" r="0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1BE">
        <w:rPr>
          <w:noProof/>
          <w:lang w:val="sr-Latn-CS" w:eastAsia="sr-Latn-CS"/>
        </w:rPr>
        <w:t xml:space="preserve">Prva pomoć - </w:t>
      </w:r>
      <w:r w:rsidR="0095785B">
        <w:rPr>
          <w:noProof/>
          <w:lang w:val="sr-Latn-CS" w:eastAsia="sr-Latn-CS"/>
        </w:rPr>
        <w:t>standardna</w:t>
      </w:r>
    </w:p>
    <w:p w:rsidR="00B7295C" w:rsidRDefault="00924FE3" w:rsidP="0095785B">
      <w:pPr>
        <w:rPr>
          <w:noProof/>
          <w:sz w:val="24"/>
          <w:lang/>
        </w:rPr>
      </w:pPr>
      <w:r w:rsidRPr="00924FE3">
        <w:rPr>
          <w:noProof/>
          <w:sz w:val="24"/>
          <w:lang/>
        </w:rPr>
        <w:t xml:space="preserve">Proći obuku za </w:t>
      </w:r>
      <w:r w:rsidR="0095785B">
        <w:rPr>
          <w:noProof/>
          <w:sz w:val="24"/>
          <w:lang/>
        </w:rPr>
        <w:t>drugi</w:t>
      </w:r>
      <w:r w:rsidRPr="00924FE3">
        <w:rPr>
          <w:noProof/>
          <w:sz w:val="24"/>
          <w:lang/>
        </w:rPr>
        <w:t xml:space="preserve"> /</w:t>
      </w:r>
      <w:r w:rsidR="0095785B">
        <w:rPr>
          <w:noProof/>
          <w:sz w:val="24"/>
          <w:lang/>
        </w:rPr>
        <w:t>standardni</w:t>
      </w:r>
      <w:r w:rsidRPr="00924FE3">
        <w:rPr>
          <w:noProof/>
          <w:sz w:val="24"/>
          <w:lang/>
        </w:rPr>
        <w:t>/</w:t>
      </w:r>
      <w:r w:rsidR="0095785B">
        <w:rPr>
          <w:noProof/>
          <w:sz w:val="24"/>
          <w:lang/>
        </w:rPr>
        <w:t xml:space="preserve"> kurs</w:t>
      </w:r>
      <w:r w:rsidRPr="00924FE3">
        <w:rPr>
          <w:noProof/>
          <w:sz w:val="24"/>
          <w:lang/>
        </w:rPr>
        <w:t xml:space="preserve"> </w:t>
      </w:r>
      <w:r>
        <w:rPr>
          <w:noProof/>
          <w:sz w:val="24"/>
          <w:lang/>
        </w:rPr>
        <w:t>prve</w:t>
      </w:r>
      <w:r w:rsidRPr="00924FE3">
        <w:rPr>
          <w:noProof/>
          <w:sz w:val="24"/>
          <w:lang/>
        </w:rPr>
        <w:t xml:space="preserve"> pomoći</w:t>
      </w:r>
      <w:r>
        <w:rPr>
          <w:noProof/>
          <w:sz w:val="24"/>
          <w:lang/>
        </w:rPr>
        <w:t xml:space="preserve"> pri Crvenom Krstu</w:t>
      </w:r>
      <w:r w:rsidR="0095785B">
        <w:rPr>
          <w:noProof/>
          <w:sz w:val="24"/>
          <w:lang/>
        </w:rPr>
        <w:t xml:space="preserve"> u trajanju od 20 sati</w:t>
      </w:r>
      <w:r w:rsidRPr="00924FE3">
        <w:rPr>
          <w:noProof/>
          <w:sz w:val="24"/>
          <w:lang/>
        </w:rPr>
        <w:t xml:space="preserve"> ili odgovoriti na sledeća pitanja:</w:t>
      </w:r>
    </w:p>
    <w:p w:rsid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Poznavati osnovne pricipe veštačkog disanja i kako postupiti kod začepljenih disajnih puteva.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Koja je razlika između srčanog udara i šloga i kako postupiti za svaki slučaj posebno?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postupak kako pomoći osobi koja krvari.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Poznavati tačke pritiska i kako tačno upotrebiti pritisak na ovim tačkama.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 xml:space="preserve">Znati ispravno </w:t>
      </w: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staviti</w:t>
      </w:r>
      <w:r w:rsidRPr="0095785B">
        <w:rPr>
          <w:rFonts w:asciiTheme="minorHAnsi" w:eastAsia="Dax-Regular" w:hAnsiTheme="minorHAnsi" w:cs="Dax-Regular"/>
          <w:color w:val="000000"/>
          <w:lang/>
        </w:rPr>
        <w:t xml:space="preserve"> podvezu i kada je treba primeniti.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uzroke šoka i demonstrirati ispravan tretman /pomoć.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Poznavati određenu proceduru kako pomoći žrtvi trovanja.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 xml:space="preserve">Poznavati određenu proceduru kako pomoći </w:t>
      </w: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osobi sa opekotinama.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</w:t>
      </w: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ti ispravan način sledećih vrsta previjanja: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otvorena i zatvorena spirala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osmica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previjanje vrha prsta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z w:val="20"/>
          <w:szCs w:val="2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previjanje glave</w:t>
      </w:r>
    </w:p>
    <w:p w:rsidR="0095785B" w:rsidRPr="0095785B" w:rsidRDefault="0095785B" w:rsidP="0095785B">
      <w:pPr>
        <w:pStyle w:val="Standard"/>
        <w:widowControl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 xml:space="preserve">Znati kako napraviti /primeniti/ sledeće </w:t>
      </w: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udlage: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udlaga</w:t>
      </w:r>
      <w:r w:rsidRPr="0095785B">
        <w:rPr>
          <w:rFonts w:asciiTheme="minorHAnsi" w:eastAsia="Dax-Regular" w:hAnsiTheme="minorHAnsi" w:cs="Dax-Regular"/>
          <w:color w:val="000000"/>
          <w:lang/>
        </w:rPr>
        <w:t xml:space="preserve"> za nadlakticu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udlaga</w:t>
      </w:r>
      <w:r w:rsidRPr="0095785B">
        <w:rPr>
          <w:rFonts w:asciiTheme="minorHAnsi" w:eastAsia="Dax-Regular" w:hAnsiTheme="minorHAnsi" w:cs="Dax-Regular"/>
          <w:color w:val="000000"/>
          <w:lang/>
        </w:rPr>
        <w:t xml:space="preserve"> za podlakticu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udlaga</w:t>
      </w:r>
      <w:r w:rsidRPr="0095785B">
        <w:rPr>
          <w:rFonts w:asciiTheme="minorHAnsi" w:eastAsia="Dax-Regular" w:hAnsiTheme="minorHAnsi" w:cs="Dax-Regular"/>
          <w:color w:val="000000"/>
          <w:lang/>
        </w:rPr>
        <w:t xml:space="preserve"> za članak 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udlaga za koleno</w:t>
      </w:r>
    </w:p>
    <w:p w:rsidR="0095785B" w:rsidRPr="0095785B" w:rsidRDefault="0095785B" w:rsidP="0095785B">
      <w:pPr>
        <w:pStyle w:val="Standard"/>
        <w:widowControl/>
        <w:numPr>
          <w:ilvl w:val="0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kako postupiti u sledećim situacijama: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povrede glave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unutrašnje povrede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rane od metka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povrede oka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ujedi životinja i insekata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onesvešćivanje i epilepsija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z w:val="20"/>
          <w:szCs w:val="2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posledice vrućine</w:t>
      </w:r>
      <w:r w:rsidRPr="0095785B">
        <w:rPr>
          <w:rFonts w:asciiTheme="minorHAnsi" w:eastAsia="Dax-Regular" w:hAnsiTheme="minorHAnsi" w:cs="Dax-Regular"/>
          <w:color w:val="000000"/>
          <w:lang/>
        </w:rPr>
        <w:t xml:space="preserve"> i hladnoće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ind w:left="426"/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šta uraditi u slučaju elektro udara.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ind w:left="426"/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kako pobeći od požara.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ind w:left="426"/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kako dobiti /pozvati/ pomoć u hitnim slučajevima.</w:t>
      </w:r>
    </w:p>
    <w:p w:rsidR="0095785B" w:rsidRPr="0095785B" w:rsidRDefault="0095785B" w:rsidP="0095785B">
      <w:pPr>
        <w:pStyle w:val="Standard"/>
        <w:numPr>
          <w:ilvl w:val="0"/>
          <w:numId w:val="5"/>
        </w:numPr>
        <w:ind w:left="426"/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kako pomoći osobi koja je bila izložena radijaciji.</w:t>
      </w:r>
    </w:p>
    <w:p w:rsidR="0095785B" w:rsidRPr="0095785B" w:rsidRDefault="0095785B" w:rsidP="0095785B">
      <w:pPr>
        <w:pStyle w:val="Standard"/>
        <w:widowControl/>
        <w:numPr>
          <w:ilvl w:val="0"/>
          <w:numId w:val="5"/>
        </w:numPr>
        <w:ind w:left="426"/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Znati sledeće</w:t>
      </w: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 xml:space="preserve"> načine nošenja: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vući za rame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vući na ćebetu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kada povređenog nose dve osobe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nošenje za ekstremitete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lang/>
        </w:rPr>
        <w:t>improvizovana prostirka /nosiljka/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eastAsia="Dax-Regular" w:hAnsiTheme="minorHAnsi" w:cs="Dax-Regular"/>
          <w:color w:val="000000"/>
          <w:shd w:val="clear" w:color="auto" w:fill="FFFFFF"/>
          <w:lang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tri osobe nose povređenog na mreži za ležanje</w:t>
      </w:r>
    </w:p>
    <w:p w:rsidR="0095785B" w:rsidRPr="0095785B" w:rsidRDefault="0095785B" w:rsidP="0095785B">
      <w:pPr>
        <w:pStyle w:val="Standard"/>
        <w:widowControl/>
        <w:numPr>
          <w:ilvl w:val="1"/>
          <w:numId w:val="5"/>
        </w:numPr>
        <w:rPr>
          <w:rFonts w:asciiTheme="minorHAnsi" w:hAnsiTheme="minorHAnsi"/>
          <w:noProof/>
        </w:rPr>
      </w:pPr>
      <w:r w:rsidRPr="0095785B">
        <w:rPr>
          <w:rFonts w:asciiTheme="minorHAnsi" w:eastAsia="Dax-Regular" w:hAnsiTheme="minorHAnsi" w:cs="Dax-Regular"/>
          <w:color w:val="000000"/>
          <w:shd w:val="clear" w:color="auto" w:fill="FFFFFF"/>
          <w:lang/>
        </w:rPr>
        <w:t>nošenje na prostirci</w:t>
      </w:r>
    </w:p>
    <w:sectPr w:rsidR="0095785B" w:rsidRPr="0095785B" w:rsidSect="0095785B">
      <w:pgSz w:w="12240" w:h="15840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ax-Regular">
    <w:altName w:val="Times New Roman"/>
    <w:charset w:val="00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lang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0BCD6260"/>
    <w:multiLevelType w:val="hybridMultilevel"/>
    <w:tmpl w:val="30D6F93C"/>
    <w:lvl w:ilvl="0" w:tplc="081A000F">
      <w:start w:val="1"/>
      <w:numFmt w:val="decimal"/>
      <w:lvlText w:val="%1."/>
      <w:lvlJc w:val="left"/>
      <w:pPr>
        <w:ind w:left="720" w:hanging="360"/>
      </w:pPr>
    </w:lvl>
    <w:lvl w:ilvl="1" w:tplc="363033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</w:lvl>
    <w:lvl w:ilvl="3" w:tplc="081A000F" w:tentative="1">
      <w:start w:val="1"/>
      <w:numFmt w:val="decimal"/>
      <w:lvlText w:val="%4."/>
      <w:lvlJc w:val="left"/>
      <w:pPr>
        <w:ind w:left="2880" w:hanging="360"/>
      </w:p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</w:lvl>
    <w:lvl w:ilvl="6" w:tplc="081A000F" w:tentative="1">
      <w:start w:val="1"/>
      <w:numFmt w:val="decimal"/>
      <w:lvlText w:val="%7."/>
      <w:lvlJc w:val="left"/>
      <w:pPr>
        <w:ind w:left="5040" w:hanging="360"/>
      </w:p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679C5"/>
    <w:rsid w:val="000919A3"/>
    <w:rsid w:val="000C31BE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098A"/>
    <w:rsid w:val="00464AE3"/>
    <w:rsid w:val="004A3586"/>
    <w:rsid w:val="004E7D2B"/>
    <w:rsid w:val="005441FC"/>
    <w:rsid w:val="006630B8"/>
    <w:rsid w:val="007450FD"/>
    <w:rsid w:val="007A301F"/>
    <w:rsid w:val="007D58B0"/>
    <w:rsid w:val="008442DB"/>
    <w:rsid w:val="00881814"/>
    <w:rsid w:val="008965A6"/>
    <w:rsid w:val="008E49AF"/>
    <w:rsid w:val="009040F9"/>
    <w:rsid w:val="00924FE3"/>
    <w:rsid w:val="0095785B"/>
    <w:rsid w:val="009A167B"/>
    <w:rsid w:val="00A24D62"/>
    <w:rsid w:val="00A71C6A"/>
    <w:rsid w:val="00B16008"/>
    <w:rsid w:val="00B421DC"/>
    <w:rsid w:val="00B7295C"/>
    <w:rsid w:val="00BB7D44"/>
    <w:rsid w:val="00C356A9"/>
    <w:rsid w:val="00CD7C08"/>
    <w:rsid w:val="00D370AB"/>
    <w:rsid w:val="00D65998"/>
    <w:rsid w:val="00D972E6"/>
    <w:rsid w:val="00DD2249"/>
    <w:rsid w:val="00E23371"/>
    <w:rsid w:val="00EA6028"/>
    <w:rsid w:val="00F30C7B"/>
    <w:rsid w:val="00F41823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95785B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2015-02-01T11:04:00Z</cp:lastPrinted>
  <dcterms:created xsi:type="dcterms:W3CDTF">2015-02-05T12:20:00Z</dcterms:created>
  <dcterms:modified xsi:type="dcterms:W3CDTF">2015-02-05T12:26:00Z</dcterms:modified>
</cp:coreProperties>
</file>