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100"/>
        <w:jc w:val="center"/>
      </w:pPr>
      <w:r>
        <w:rPr>
          <w:rFonts w:ascii="Calibri" w:cs="Calibri" w:eastAsia="Calibri" w:hAnsi="Calibri"/>
          <w:b/>
          <w:bCs/>
          <w:caps/>
          <w:color w:val="E8632B"/>
          <w:sz w:val="24"/>
          <w:szCs w:val="24"/>
        </w:rPr>
        <w:t xml:space="preserve">DOCUMENT DE CADRAGE PROJET</w:t>
      </w:r>
    </w:p>
    <w:p>
      <w:pPr>
        <w:spacing w:after="80"/>
        <w:jc w:val="center"/>
      </w:pPr>
      <w:r>
        <w:rPr>
          <w:rFonts w:ascii="Calibri" w:cs="Calibri" w:eastAsia="Calibri" w:hAnsi="Calibri"/>
          <w:b/>
          <w:bCs/>
          <w:color w:val="1B2A4A"/>
          <w:sz w:val="72"/>
          <w:szCs w:val="72"/>
        </w:rPr>
        <w:t xml:space="preserve">Alloflow</w:t>
      </w:r>
    </w:p>
    <w:p>
      <w:pPr>
        <w:spacing w:after="400"/>
        <w:jc w:val="center"/>
      </w:pPr>
      <w:r>
        <w:rPr>
          <w:rFonts w:ascii="Calibri" w:cs="Calibri" w:eastAsia="Calibri" w:hAnsi="Calibri"/>
          <w:color w:val="666666"/>
          <w:sz w:val="28"/>
          <w:szCs w:val="28"/>
        </w:rPr>
        <w:t xml:space="preserve">Logiciel de Caisse SaaS pour la Restauration</w:t>
      </w:r>
    </w:p>
    <w:p>
      <w:pPr>
        <w:pBdr>
          <w:top w:val="single" w:color="E8632B" w:sz="4" w:space="8"/>
          <w:bottom w:val="single" w:color="E8632B" w:sz="4" w:space="8"/>
        </w:pBdr>
        <w:spacing w:after="400"/>
        <w:jc w:val="center"/>
      </w:pPr>
      <w:r>
        <w:rPr>
          <w:rFonts w:ascii="Calibri" w:cs="Calibri" w:eastAsia="Calibri" w:hAnsi="Calibri"/>
          <w:color w:val="1B2A4A"/>
          <w:sz w:val="22"/>
          <w:szCs w:val="22"/>
        </w:rPr>
        <w:t xml:space="preserve">Architecture · Roadmap · Stack Technique · TPE CIC · CRM Fidélité · Setup Dev</w:t>
      </w:r>
    </w:p>
    <w:p>
      <w:pPr>
        <w:spacing w:after="200"/>
      </w:pPr>
    </w:p>
    <w:p>
      <w:pPr>
        <w:spacing w:after="200"/>
      </w:pPr>
    </w:p>
    <w:p>
      <w:pPr>
        <w:spacing w:after="200"/>
      </w:pPr>
    </w:p>
    <w:p>
      <w:pPr>
        <w:jc w:val="center"/>
      </w:pPr>
      <w:r>
        <w:rPr>
          <w:rFonts w:ascii="Calibri" w:cs="Calibri" w:eastAsia="Calibri" w:hAnsi="Calibri"/>
          <w:color w:val="999999"/>
          <w:sz w:val="22"/>
          <w:szCs w:val="22"/>
        </w:rPr>
        <w:t xml:space="preserve">Version 2.0 — Mars 2026</w:t>
      </w:r>
    </w:p>
    <w:p>
      <w:pPr>
        <w:jc w:val="center"/>
      </w:pPr>
      <w:r>
        <w:rPr>
          <w:rFonts w:ascii="Calibri" w:cs="Calibri" w:eastAsia="Calibri" w:hAnsi="Calibri"/>
          <w:i/>
          <w:iCs/>
          <w:color w:val="999999"/>
          <w:sz w:val="20"/>
          <w:szCs w:val="20"/>
        </w:rPr>
        <w:t xml:space="preserve">Confidentiel — Usage interne</w:t>
      </w:r>
    </w:p>
    <w:p>
      <w:pPr>
        <w:sectPr>
          <w:pgSz w:w="11906" w:h="16838" w:orient="portrait"/>
          <w:pgMar w:top="1440" w:right="1440" w:bottom="1440" w:left="1440" w:header="708" w:footer="708" w:gutter="0"/>
          <w:pgNumType/>
          <w:docGrid w:linePitch="360"/>
        </w:sectPr>
      </w:pPr>
    </w:p>
    <w:p>
      <w:pPr>
        <w:pStyle w:val="Heading1"/>
      </w:pPr>
      <w:r>
        <w:t xml:space="preserve">1. Vision du Projet</w:t>
      </w:r>
    </w:p>
    <w:p>
      <w:pPr>
        <w:pBdr>
          <w:bottom w:val="single" w:color="E8632B" w:sz="8" w:space="4"/>
        </w:pBdr>
        <w:spacing w:after="300"/>
      </w:pPr>
    </w:p>
    <w:p>
      <w:pPr>
        <w:spacing w:after="160"/>
      </w:pPr>
      <w:r>
        <w:rPr>
          <w:b/>
          <w:bCs/>
        </w:rPr>
        <w:t xml:space="preserve">Alloflow</w:t>
      </w:r>
      <w:r>
        <w:t xml:space="preserve"> est un logiciel de caisse (POS) en mode SaaS, conçu spécifiquement pour la restauration. Il remplacera les solutions tierces (type SumUp) par un système maîtrisé, connecté aux terminaux de paiement bancaires CIC (Ingenico), et scalable pour un réseau de franchisés.</w:t>
      </w:r>
    </w:p>
    <w:p>
      <w:pPr>
        <w:pStyle w:val="Heading2"/>
      </w:pPr>
      <w:r>
        <w:t xml:space="preserve">1.1 Problème</w:t>
      </w:r>
    </w:p>
    <w:p>
      <w:pPr>
        <w:pStyle w:val="ListParagraph"/>
        <w:numPr>
          <w:ilvl w:val="0"/>
          <w:numId w:val="2"/>
        </w:numPr>
        <w:spacing w:after="80"/>
      </w:pPr>
      <w:r>
        <w:rPr>
          <w:rFonts w:ascii="Calibri" w:cs="Calibri" w:eastAsia="Calibri" w:hAnsi="Calibri"/>
          <w:sz w:val="22"/>
          <w:szCs w:val="22"/>
        </w:rPr>
        <w:t xml:space="preserve">Dépendance à SumUp : commissions élevées, fonctionnalités limitées</w:t>
      </w:r>
    </w:p>
    <w:p>
      <w:pPr>
        <w:pStyle w:val="ListParagraph"/>
        <w:numPr>
          <w:ilvl w:val="0"/>
          <w:numId w:val="2"/>
        </w:numPr>
        <w:spacing w:after="80"/>
      </w:pPr>
      <w:r>
        <w:rPr>
          <w:rFonts w:ascii="Calibri" w:cs="Calibri" w:eastAsia="Calibri" w:hAnsi="Calibri"/>
          <w:sz w:val="22"/>
          <w:szCs w:val="22"/>
        </w:rPr>
        <w:t xml:space="preserve">Aucun logiciel de caisse connecté aux terminaux CIC fournis par la banque</w:t>
      </w:r>
    </w:p>
    <w:p>
      <w:pPr>
        <w:pStyle w:val="ListParagraph"/>
        <w:numPr>
          <w:ilvl w:val="0"/>
          <w:numId w:val="2"/>
        </w:numPr>
        <w:spacing w:after="80"/>
      </w:pPr>
      <w:r>
        <w:rPr>
          <w:rFonts w:ascii="Calibri" w:cs="Calibri" w:eastAsia="Calibri" w:hAnsi="Calibri"/>
          <w:sz w:val="22"/>
          <w:szCs w:val="22"/>
        </w:rPr>
        <w:t xml:space="preserve">Impossible de piloter plusieurs établissements depuis un tableau de bord unique</w:t>
      </w:r>
    </w:p>
    <w:p>
      <w:pPr>
        <w:pStyle w:val="ListParagraph"/>
        <w:numPr>
          <w:ilvl w:val="0"/>
          <w:numId w:val="2"/>
        </w:numPr>
        <w:spacing w:after="80"/>
      </w:pPr>
      <w:r>
        <w:rPr>
          <w:rFonts w:ascii="Calibri" w:cs="Calibri" w:eastAsia="Calibri" w:hAnsi="Calibri"/>
          <w:sz w:val="22"/>
          <w:szCs w:val="22"/>
        </w:rPr>
        <w:t xml:space="preserve">Pas de gestion intégrée des stocks, recettes, procédures (SOP) et fidélité client</w:t>
      </w:r>
    </w:p>
    <w:p>
      <w:pPr>
        <w:spacing w:after="200"/>
      </w:pPr>
    </w:p>
    <w:p>
      <w:pPr>
        <w:pStyle w:val="Heading2"/>
      </w:pPr>
      <w:r>
        <w:t xml:space="preserve">1.2 Solution</w:t>
      </w:r>
    </w:p>
    <w:p>
      <w:pPr>
        <w:pStyle w:val="ListParagraph"/>
        <w:numPr>
          <w:ilvl w:val="0"/>
          <w:numId w:val="2"/>
        </w:numPr>
        <w:spacing w:after="80"/>
      </w:pPr>
      <w:r>
        <w:rPr>
          <w:rFonts w:ascii="Calibri" w:cs="Calibri" w:eastAsia="Calibri" w:hAnsi="Calibri"/>
          <w:sz w:val="22"/>
          <w:szCs w:val="22"/>
        </w:rPr>
        <w:t xml:space="preserve">Un SaaS complet : encaissement, stocks, multi-sites, analytics, CRM fidélité</w:t>
      </w:r>
    </w:p>
    <w:p>
      <w:pPr>
        <w:pStyle w:val="ListParagraph"/>
        <w:numPr>
          <w:ilvl w:val="0"/>
          <w:numId w:val="2"/>
        </w:numPr>
        <w:spacing w:after="80"/>
      </w:pPr>
      <w:r>
        <w:rPr>
          <w:rFonts w:ascii="Calibri" w:cs="Calibri" w:eastAsia="Calibri" w:hAnsi="Calibri"/>
          <w:sz w:val="22"/>
          <w:szCs w:val="22"/>
        </w:rPr>
        <w:t xml:space="preserve">Connexion native aux terminaux CIC Ingenico via protocole Caisse (Concert V3)</w:t>
      </w:r>
    </w:p>
    <w:p>
      <w:pPr>
        <w:pStyle w:val="ListParagraph"/>
        <w:numPr>
          <w:ilvl w:val="0"/>
          <w:numId w:val="2"/>
        </w:numPr>
        <w:spacing w:after="80"/>
      </w:pPr>
      <w:r>
        <w:rPr>
          <w:rFonts w:ascii="Calibri" w:cs="Calibri" w:eastAsia="Calibri" w:hAnsi="Calibri"/>
          <w:sz w:val="22"/>
          <w:szCs w:val="22"/>
        </w:rPr>
        <w:t xml:space="preserve">Interface tactile optimisée pour tablettes et écrans en restauration</w:t>
      </w:r>
    </w:p>
    <w:p>
      <w:pPr>
        <w:pStyle w:val="ListParagraph"/>
        <w:numPr>
          <w:ilvl w:val="0"/>
          <w:numId w:val="2"/>
        </w:numPr>
        <w:spacing w:after="80"/>
      </w:pPr>
      <w:r>
        <w:rPr>
          <w:rFonts w:ascii="Calibri" w:cs="Calibri" w:eastAsia="Calibri" w:hAnsi="Calibri"/>
          <w:sz w:val="22"/>
          <w:szCs w:val="22"/>
        </w:rPr>
        <w:t xml:space="preserve">Module SOP pour diffuser recettes et procédures à tous les établissements</w:t>
      </w:r>
    </w:p>
    <w:p>
      <w:pPr>
        <w:pStyle w:val="ListParagraph"/>
        <w:numPr>
          <w:ilvl w:val="0"/>
          <w:numId w:val="2"/>
        </w:numPr>
        <w:spacing w:after="80"/>
      </w:pPr>
      <w:r>
        <w:rPr>
          <w:rFonts w:ascii="Calibri" w:cs="Calibri" w:eastAsia="Calibri" w:hAnsi="Calibri"/>
          <w:sz w:val="22"/>
          <w:szCs w:val="22"/>
        </w:rPr>
        <w:t xml:space="preserve">Modèle franchise-ready : chaque franchisé a son espace, le siège supervise tout</w:t>
      </w:r>
    </w:p>
    <w:p>
      <w:pPr>
        <w:pStyle w:val="ListParagraph"/>
        <w:numPr>
          <w:ilvl w:val="0"/>
          <w:numId w:val="2"/>
        </w:numPr>
        <w:spacing w:after="80"/>
      </w:pPr>
      <w:r>
        <w:rPr>
          <w:rFonts w:ascii="Calibri" w:cs="Calibri" w:eastAsia="Calibri" w:hAnsi="Calibri"/>
          <w:sz w:val="22"/>
          <w:szCs w:val="22"/>
        </w:rPr>
        <w:t xml:space="preserve">CRM fidélité intégré : cumul de points, récompenses, historique client</w:t>
      </w:r>
    </w:p>
    <w:p>
      <w:pPr>
        <w:spacing w:after="200"/>
      </w:pPr>
    </w:p>
    <w:p>
      <w:pPr>
        <w:pStyle w:val="Heading2"/>
      </w:pPr>
      <w:r>
        <w:t xml:space="preserve">1.3 Utilisateurs Cibles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Profil</w:t>
            </w:r>
          </w:p>
        </w:tc>
        <w:tc>
          <w:tcPr>
            <w:tcW w:type="dxa" w:w="3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Besoin principal</w:t>
            </w:r>
          </w:p>
        </w:tc>
        <w:tc>
          <w:tcPr>
            <w:tcW w:type="dxa" w:w="3426"/>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Accès</w:t>
            </w:r>
          </w:p>
        </w:tc>
      </w:tr>
      <w:tr>
        <w:tc>
          <w:tcPr>
            <w:tcW w:type="dxa" w:w="2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Propriétaire / Siège</w:t>
            </w:r>
          </w:p>
        </w:tc>
        <w:tc>
          <w:tcPr>
            <w:tcW w:type="dxa" w:w="34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Vision globale, décisions stratégiques</w:t>
            </w:r>
          </w:p>
        </w:tc>
        <w:tc>
          <w:tcPr>
            <w:tcW w:type="dxa" w:w="34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Dashboard multi-établissements, analytics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Gérant de restaurant</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Pilotage quotidien de son établissement</w:t>
            </w:r>
          </w:p>
        </w:tc>
        <w:tc>
          <w:tcPr>
            <w:tcW w:type="dxa" w:w="34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Caisse, stocks, rapport journalier</w:t>
            </w:r>
          </w:p>
        </w:tc>
      </w:tr>
      <w:tr>
        <w:tc>
          <w:tcPr>
            <w:tcW w:type="dxa" w:w="2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Employé / Caissier</w:t>
            </w:r>
          </w:p>
        </w:tc>
        <w:tc>
          <w:tcPr>
            <w:tcW w:type="dxa" w:w="34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Encaisser rapidement et sans erreur</w:t>
            </w:r>
          </w:p>
        </w:tc>
        <w:tc>
          <w:tcPr>
            <w:tcW w:type="dxa" w:w="34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Interface caisse uniquement</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Franchisé</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Autonomie avec le cadre de la marque</w:t>
            </w:r>
          </w:p>
        </w:tc>
        <w:tc>
          <w:tcPr>
            <w:tcW w:type="dxa" w:w="34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Caisse + stocks + SOP reçus du siège</w:t>
            </w:r>
          </w:p>
        </w:tc>
      </w:tr>
      <w:tr>
        <w:tc>
          <w:tcPr>
            <w:tcW w:type="dxa" w:w="2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Client fidèle</w:t>
            </w:r>
          </w:p>
        </w:tc>
        <w:tc>
          <w:tcPr>
            <w:tcW w:type="dxa" w:w="34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Cumuler des points, obtenir des récompenses</w:t>
            </w:r>
          </w:p>
        </w:tc>
        <w:tc>
          <w:tcPr>
            <w:tcW w:type="dxa" w:w="34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Via QR code ou numéro de téléphone</w:t>
            </w:r>
          </w:p>
        </w:tc>
      </w:tr>
    </w:tbl>
    <w:p>
      <w:pPr>
        <w:spacing w:after="200"/>
      </w:pPr>
    </w:p>
    <w:p>
      <w:pPr>
        <w:pStyle w:val="Heading1"/>
      </w:pPr>
      <w:r>
        <w:t xml:space="preserve">2. Architecture Technique</w:t>
      </w:r>
    </w:p>
    <w:p>
      <w:pPr>
        <w:pBdr>
          <w:bottom w:val="single" w:color="E8632B" w:sz="8" w:space="4"/>
        </w:pBdr>
        <w:spacing w:after="300"/>
      </w:pPr>
    </w:p>
    <w:p>
      <w:pPr>
        <w:pStyle w:val="Heading2"/>
      </w:pPr>
      <w:r>
        <w:t xml:space="preserve">2.1 Stack Technologique</w:t>
      </w:r>
    </w:p>
    <w:p>
      <w:pPr>
        <w:spacing w:after="160"/>
      </w:pPr>
      <w:r>
        <w:rPr>
          <w:i/>
          <w:iCs/>
          <w:color w:val="666666"/>
        </w:rPr>
        <w:t xml:space="preserve">Stack choisi pour sa simplicité, adapté à un développement assisté par IA (Claude Code + Obra Superpowers).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Couche</w:t>
            </w:r>
          </w:p>
        </w:tc>
        <w:tc>
          <w:tcPr>
            <w:tcW w:type="dxa" w:w="2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Technologie</w:t>
            </w:r>
          </w:p>
        </w:tc>
        <w:tc>
          <w:tcPr>
            <w:tcW w:type="dxa" w:w="4226"/>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Justification</w:t>
            </w:r>
          </w:p>
        </w:tc>
      </w:tr>
      <w:tr>
        <w:tc>
          <w:tcPr>
            <w:tcW w:type="dxa" w:w="20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Frontend (Web)</w:t>
            </w:r>
          </w:p>
        </w:tc>
        <w:tc>
          <w:tcPr>
            <w:tcW w:type="dxa" w:w="28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Next.js 14 + React</w:t>
            </w:r>
          </w:p>
        </w:tc>
        <w:tc>
          <w:tcPr>
            <w:tcW w:type="dxa" w:w="42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SSR, routing, déploiement Vercel facile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Frontend (Caisse)</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React + PWA</w:t>
            </w:r>
          </w:p>
        </w:tc>
        <w:tc>
          <w:tcPr>
            <w:tcW w:type="dxa" w:w="4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Fonctionne hors-ligne, installable sur tablette</w:t>
            </w:r>
          </w:p>
        </w:tc>
      </w:tr>
      <w:tr>
        <w:tc>
          <w:tcPr>
            <w:tcW w:type="dxa" w:w="20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Backend / API</w:t>
            </w:r>
          </w:p>
        </w:tc>
        <w:tc>
          <w:tcPr>
            <w:tcW w:type="dxa" w:w="28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Next.js API Routes</w:t>
            </w:r>
          </w:p>
        </w:tc>
        <w:tc>
          <w:tcPr>
            <w:tcW w:type="dxa" w:w="42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Un seul langage (TypeScript) partout</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Base de données</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PostgreSQL (Supabase)</w:t>
            </w:r>
          </w:p>
        </w:tc>
        <w:tc>
          <w:tcPr>
            <w:tcW w:type="dxa" w:w="4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Robuste, auth intégrée, temps réel</w:t>
            </w:r>
          </w:p>
        </w:tc>
      </w:tr>
      <w:tr>
        <w:tc>
          <w:tcPr>
            <w:tcW w:type="dxa" w:w="20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Authentification</w:t>
            </w:r>
          </w:p>
        </w:tc>
        <w:tc>
          <w:tcPr>
            <w:tcW w:type="dxa" w:w="28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Supabase Auth</w:t>
            </w:r>
          </w:p>
        </w:tc>
        <w:tc>
          <w:tcPr>
            <w:tcW w:type="dxa" w:w="42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Rôles (admin, gérant, caissier), SSO possible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Paiement TPE</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Protocole Caisse (Concert V3)</w:t>
            </w:r>
          </w:p>
        </w:tc>
        <w:tc>
          <w:tcPr>
            <w:tcW w:type="dxa" w:w="4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Standard CIC/Crédit Mutuel pour TPE Ingenico</w:t>
            </w:r>
          </w:p>
        </w:tc>
      </w:tr>
      <w:tr>
        <w:tc>
          <w:tcPr>
            <w:tcW w:type="dxa" w:w="20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Impression tickets</w:t>
            </w:r>
          </w:p>
        </w:tc>
        <w:tc>
          <w:tcPr>
            <w:tcW w:type="dxa" w:w="28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ESC/POS via WebUSB/BLE</w:t>
            </w:r>
          </w:p>
        </w:tc>
        <w:tc>
          <w:tcPr>
            <w:tcW w:type="dxa" w:w="42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Compatible imprimantes thermiques standard</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Hébergement</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Vercel + Supabase Cloud</w:t>
            </w:r>
          </w:p>
        </w:tc>
        <w:tc>
          <w:tcPr>
            <w:tcW w:type="dxa" w:w="4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Zéro gestion serveur, scaling automatique</w:t>
            </w:r>
          </w:p>
        </w:tc>
      </w:tr>
      <w:tr>
        <w:tc>
          <w:tcPr>
            <w:tcW w:type="dxa" w:w="20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Stockage fichiers</w:t>
            </w:r>
          </w:p>
        </w:tc>
        <w:tc>
          <w:tcPr>
            <w:tcW w:type="dxa" w:w="28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Supabase Storage</w:t>
            </w:r>
          </w:p>
        </w:tc>
        <w:tc>
          <w:tcPr>
            <w:tcW w:type="dxa" w:w="42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Photos recettes, PDF des SOP</w:t>
            </w:r>
          </w:p>
        </w:tc>
      </w:tr>
    </w:tbl>
    <w:p>
      <w:pPr>
        <w:spacing w:after="200"/>
      </w:pPr>
    </w:p>
    <w:p>
      <w:pPr>
        <w:pStyle w:val="Heading2"/>
      </w:pPr>
      <w:r>
        <w:t xml:space="preserve">2.2 Modèle de Données Principal</w:t>
      </w:r>
    </w:p>
    <w:p>
      <w:pPr>
        <w:spacing w:after="160"/>
      </w:pPr>
      <w:r>
        <w:t xml:space="preserve">Voici les entités clés de la base de données (incluant le CRM fidélité)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Entité</w:t>
            </w:r>
          </w:p>
        </w:tc>
        <w:tc>
          <w:tcPr>
            <w:tcW w:type="dxa" w:w="3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Champs clés</w:t>
            </w:r>
          </w:p>
        </w:tc>
        <w:tc>
          <w:tcPr>
            <w:tcW w:type="dxa" w:w="3826"/>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Relations</w:t>
            </w:r>
          </w:p>
        </w:tc>
      </w:tr>
      <w:tr>
        <w:tc>
          <w:tcPr>
            <w:tcW w:type="dxa" w:w="20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Organization</w:t>
            </w:r>
          </w:p>
        </w:tc>
        <w:tc>
          <w:tcPr>
            <w:tcW w:type="dxa" w:w="3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id, name, type (siege/franchise)</w:t>
            </w:r>
          </w:p>
        </w:tc>
        <w:tc>
          <w:tcPr>
            <w:tcW w:type="dxa" w:w="38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Parent du modèle multi-tenant</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Establishment</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id, name, address, org_id</w:t>
            </w:r>
          </w:p>
        </w:tc>
        <w:tc>
          <w:tcPr>
            <w:tcW w:type="dxa" w:w="3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Appartient à une Organization</w:t>
            </w:r>
          </w:p>
        </w:tc>
      </w:tr>
      <w:tr>
        <w:tc>
          <w:tcPr>
            <w:tcW w:type="dxa" w:w="20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User</w:t>
            </w:r>
          </w:p>
        </w:tc>
        <w:tc>
          <w:tcPr>
            <w:tcW w:type="dxa" w:w="3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id, email, role, establishment_id</w:t>
            </w:r>
          </w:p>
        </w:tc>
        <w:tc>
          <w:tcPr>
            <w:tcW w:type="dxa" w:w="38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Lié à un Establishment + rôle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Product</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id, name, price, category, tva_rate</w:t>
            </w:r>
          </w:p>
        </w:tc>
        <w:tc>
          <w:tcPr>
            <w:tcW w:type="dxa" w:w="3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Catalogue par Establishment</w:t>
            </w:r>
          </w:p>
        </w:tc>
      </w:tr>
      <w:tr>
        <w:tc>
          <w:tcPr>
            <w:tcW w:type="dxa" w:w="20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Order</w:t>
            </w:r>
          </w:p>
        </w:tc>
        <w:tc>
          <w:tcPr>
            <w:tcW w:type="dxa" w:w="3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id, total, payment_method, status, customer_id</w:t>
            </w:r>
          </w:p>
        </w:tc>
        <w:tc>
          <w:tcPr>
            <w:tcW w:type="dxa" w:w="38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Contient des OrderItems, lié à Customer</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OrderItem</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id, product_id, quantity, unit_price</w:t>
            </w:r>
          </w:p>
        </w:tc>
        <w:tc>
          <w:tcPr>
            <w:tcW w:type="dxa" w:w="3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Lié à Order + Product</w:t>
            </w:r>
          </w:p>
        </w:tc>
      </w:tr>
      <w:tr>
        <w:tc>
          <w:tcPr>
            <w:tcW w:type="dxa" w:w="20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StockItem</w:t>
            </w:r>
          </w:p>
        </w:tc>
        <w:tc>
          <w:tcPr>
            <w:tcW w:type="dxa" w:w="3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id, ingredient, quantity, unit, alert</w:t>
            </w:r>
          </w:p>
        </w:tc>
        <w:tc>
          <w:tcPr>
            <w:tcW w:type="dxa" w:w="38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Stock par Establishment</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Recipe / SOP</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id, title, content, media_urls, version</w:t>
            </w:r>
          </w:p>
        </w:tc>
        <w:tc>
          <w:tcPr>
            <w:tcW w:type="dxa" w:w="3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Créé par le siège, diffusé aux franchises</w:t>
            </w:r>
          </w:p>
        </w:tc>
      </w:tr>
      <w:tr>
        <w:tc>
          <w:tcPr>
            <w:tcW w:type="dxa" w:w="20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Transaction</w:t>
            </w:r>
          </w:p>
        </w:tc>
        <w:tc>
          <w:tcPr>
            <w:tcW w:type="dxa" w:w="3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id, amount, type, tpe_ref, timestamp</w:t>
            </w:r>
          </w:p>
        </w:tc>
        <w:tc>
          <w:tcPr>
            <w:tcW w:type="dxa" w:w="38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Lié à Order, traçabilité bancaire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b/>
                <w:bCs/>
                <w:sz w:val="20"/>
                <w:szCs w:val="20"/>
              </w:rPr>
              <w:t xml:space="preserve">Customer</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b/>
                <w:bCs/>
                <w:sz w:val="20"/>
                <w:szCs w:val="20"/>
              </w:rPr>
              <w:t xml:space="preserve">id, name, phone, email, points, tier</w:t>
            </w:r>
          </w:p>
        </w:tc>
        <w:tc>
          <w:tcPr>
            <w:tcW w:type="dxa" w:w="3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b/>
                <w:bCs/>
                <w:sz w:val="20"/>
                <w:szCs w:val="20"/>
              </w:rPr>
              <w:t xml:space="preserve">CRM fidélité — lié aux Orders</w:t>
            </w:r>
          </w:p>
        </w:tc>
      </w:tr>
      <w:tr>
        <w:tc>
          <w:tcPr>
            <w:tcW w:type="dxa" w:w="20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b/>
                <w:bCs/>
                <w:sz w:val="20"/>
                <w:szCs w:val="20"/>
              </w:rPr>
              <w:t xml:space="preserve">LoyaltyReward</w:t>
            </w:r>
          </w:p>
        </w:tc>
        <w:tc>
          <w:tcPr>
            <w:tcW w:type="dxa" w:w="3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b/>
                <w:bCs/>
                <w:sz w:val="20"/>
                <w:szCs w:val="20"/>
              </w:rPr>
              <w:t xml:space="preserve">id, name, points_required, discount_type</w:t>
            </w:r>
          </w:p>
        </w:tc>
        <w:tc>
          <w:tcPr>
            <w:tcW w:type="dxa" w:w="38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b/>
                <w:bCs/>
                <w:sz w:val="20"/>
                <w:szCs w:val="20"/>
              </w:rPr>
              <w:t xml:space="preserve">Récompenses configurées par Organization</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b/>
                <w:bCs/>
                <w:sz w:val="20"/>
                <w:szCs w:val="20"/>
              </w:rPr>
              <w:t xml:space="preserve">LoyaltyTransaction</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b/>
                <w:bCs/>
                <w:sz w:val="20"/>
                <w:szCs w:val="20"/>
              </w:rPr>
              <w:t xml:space="preserve">id, customer_id, points, type (earn/redeem)</w:t>
            </w:r>
          </w:p>
        </w:tc>
        <w:tc>
          <w:tcPr>
            <w:tcW w:type="dxa" w:w="3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b/>
                <w:bCs/>
                <w:sz w:val="20"/>
                <w:szCs w:val="20"/>
              </w:rPr>
              <w:t xml:space="preserve">Historique des points gagnés/utilisés</w:t>
            </w:r>
          </w:p>
        </w:tc>
      </w:tr>
    </w:tbl>
    <w:p>
      <w:pPr>
        <w:spacing w:after="200"/>
      </w:pPr>
    </w:p>
    <w:p>
      <w:pPr>
        <w:sectPr>
          <w:headerReference w:type="default" r:id="rId6"/>
          <w:pgSz w:w="11906" w:h="16838" w:orient="portrait"/>
          <w:pgMar w:top="1440" w:right="1440" w:bottom="1440" w:left="1440" w:header="708" w:footer="708" w:gutter="0"/>
          <w:pgNumType/>
          <w:docGrid w:linePitch="360"/>
        </w:sectPr>
      </w:pPr>
    </w:p>
    <w:p>
      <w:pPr>
        <w:pStyle w:val="Heading1"/>
      </w:pPr>
      <w:r>
        <w:t xml:space="preserve">3. Connexion TPE CIC — Documentation Technique</w:t>
      </w:r>
    </w:p>
    <w:p>
      <w:pPr>
        <w:pBdr>
          <w:bottom w:val="single" w:color="E8632B" w:sz="8" w:space="4"/>
        </w:pBdr>
        <w:spacing w:after="300"/>
      </w:pPr>
    </w:p>
    <w:p>
      <w:pPr>
        <w:pStyle w:val="Heading2"/>
      </w:pPr>
      <w:r>
        <w:t xml:space="preserve">3.1 Terminaux Fournis par le CIC</w:t>
      </w:r>
    </w:p>
    <w:p>
      <w:pPr>
        <w:spacing w:after="160"/>
      </w:pPr>
      <w:r>
        <w:t xml:space="preserve">Le CIC fournit ses terminaux sous la marque Monetico Proximity. Les modèles sont fabriqués par Ingenico et se répartissent en deux gammes :</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26"/>
      </w:tblGrid>
      <w:tr>
        <w:tc>
          <w:tcPr>
            <w:tcW w:type="dxa" w:w="2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Gamme</w:t>
            </w:r>
          </w:p>
        </w:tc>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Modèles</w:t>
            </w:r>
          </w:p>
        </w:tc>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2626"/>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Usage restauration</w:t>
            </w:r>
          </w:p>
        </w:tc>
      </w:tr>
      <w:tr>
        <w:tc>
          <w:tcPr>
            <w:tcW w:type="dxa" w:w="20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TETRA (Telium)</w:t>
            </w:r>
          </w:p>
        </w:tc>
        <w:tc>
          <w:tcPr>
            <w:tcW w:type="dxa" w:w="2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Move 5000</w:t>
            </w:r>
          </w:p>
        </w:tc>
        <w:tc>
          <w:tcPr>
            <w:tcW w:type="dxa" w:w="2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Portable WiFi/BT/3G</w:t>
            </w:r>
          </w:p>
        </w:tc>
        <w:tc>
          <w:tcPr>
            <w:tcW w:type="dxa" w:w="26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Service en salle, terrasse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TETRA (Telium)</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Desk 5000</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Fixe (comptoir)</w:t>
            </w:r>
          </w:p>
        </w:tc>
        <w:tc>
          <w:tcPr>
            <w:tcW w:type="dxa" w:w="26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Encaissement au comptoir</w:t>
            </w:r>
          </w:p>
        </w:tc>
      </w:tr>
      <w:tr>
        <w:tc>
          <w:tcPr>
            <w:tcW w:type="dxa" w:w="20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AXIUM (Android)</w:t>
            </w:r>
          </w:p>
        </w:tc>
        <w:tc>
          <w:tcPr>
            <w:tcW w:type="dxa" w:w="2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DX6000</w:t>
            </w:r>
          </w:p>
        </w:tc>
        <w:tc>
          <w:tcPr>
            <w:tcW w:type="dxa" w:w="2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Portable (remplace Move)</w:t>
            </w:r>
          </w:p>
        </w:tc>
        <w:tc>
          <w:tcPr>
            <w:tcW w:type="dxa" w:w="26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Nouveau standard mobile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AXIUM (Android)</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DX4000 + Desk 1700</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Fixe + pinpad</w:t>
            </w:r>
          </w:p>
        </w:tc>
        <w:tc>
          <w:tcPr>
            <w:tcW w:type="dxa" w:w="26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Comptoir + pinpad client</w:t>
            </w:r>
          </w:p>
        </w:tc>
      </w:tr>
      <w:tr>
        <w:tc>
          <w:tcPr>
            <w:tcW w:type="dxa" w:w="20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AXIUM (Android)</w:t>
            </w:r>
          </w:p>
        </w:tc>
        <w:tc>
          <w:tcPr>
            <w:tcW w:type="dxa" w:w="2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DX8000</w:t>
            </w:r>
          </w:p>
        </w:tc>
        <w:tc>
          <w:tcPr>
            <w:tcW w:type="dxa" w:w="2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Fixe tactile avancé</w:t>
            </w:r>
          </w:p>
        </w:tc>
        <w:tc>
          <w:tcPr>
            <w:tcW w:type="dxa" w:w="26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Comptoir haut de gamme</w:t>
            </w:r>
          </w:p>
        </w:tc>
      </w:tr>
    </w:tbl>
    <w:p>
      <w:pPr>
        <w:spacing w:after="200"/>
      </w:pPr>
    </w:p>
    <w:p>
      <w:pPr>
        <w:spacing w:after="160"/>
      </w:pPr>
      <w:r>
        <w:rPr>
          <w:b/>
          <w:bCs/>
        </w:rPr>
        <w:t xml:space="preserve">Action immédiate : </w:t>
      </w:r>
      <w:r>
        <w:t xml:space="preserve">Vérifiez le modèle exact de vos TPE via : F &gt; 0-TELIUM MANAGER &gt; 2-Consultation &gt; 4-Configuration</w:t>
      </w:r>
    </w:p>
    <w:p>
      <w:pPr>
        <w:spacing w:after="200"/>
      </w:pPr>
    </w:p>
    <w:p>
      <w:pPr>
        <w:pStyle w:val="Heading2"/>
      </w:pPr>
      <w:r>
        <w:t xml:space="preserve">3.2 Protocole Caisse (Concert V3)</w:t>
      </w:r>
    </w:p>
    <w:p>
      <w:pPr>
        <w:spacing w:after="160"/>
      </w:pPr>
      <w:r>
        <w:t xml:space="preserve">Le protocole Caisse (anciennement Concert) est le standard français de communication entre un logiciel de caisse et un TPE. Tous les terminaux Ingenico l’implémentent nativement via le Telium Manager.</w:t>
      </w:r>
    </w:p>
    <w:p>
      <w:pPr>
        <w:spacing w:after="200"/>
      </w:pPr>
    </w:p>
    <w:p>
      <w:pPr>
        <w:pStyle w:val="Heading3"/>
      </w:pPr>
      <w:r>
        <w:t xml:space="preserve">Modes de connexion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Mode</w:t>
            </w:r>
          </w:p>
        </w:tc>
        <w:tc>
          <w:tcPr>
            <w:tcW w:type="dxa" w:w="35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Comment ça marche</w:t>
            </w:r>
          </w:p>
        </w:tc>
        <w:tc>
          <w:tcPr>
            <w:tcW w:type="dxa" w:w="3526"/>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Recommandation</w:t>
            </w:r>
          </w:p>
        </w:tc>
      </w:tr>
      <w:tr>
        <w:tc>
          <w:tcPr>
            <w:tcW w:type="dxa" w:w="20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USB / Série</w:t>
            </w:r>
          </w:p>
        </w:tc>
        <w:tc>
          <w:tcPr>
            <w:tcW w:type="dxa" w:w="35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Port COM (RS232 via USB). Linux : /dev/ttyACM0</w:t>
            </w:r>
          </w:p>
        </w:tc>
        <w:tc>
          <w:tcPr>
            <w:tcW w:type="dxa" w:w="35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Simple, fiable. Idéal pour démarrer</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TCP/IP (Ethernet)</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Socket TCP sur port 8888. Le TPE écoute en serveur</w:t>
            </w:r>
          </w:p>
        </w:tc>
        <w:tc>
          <w:tcPr>
            <w:tcW w:type="dxa" w:w="35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Production : WiFi ou Ethernet local</w:t>
            </w:r>
          </w:p>
        </w:tc>
      </w:tr>
      <w:tr>
        <w:tc>
          <w:tcPr>
            <w:tcW w:type="dxa" w:w="20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Bluetooth</w:t>
            </w:r>
          </w:p>
        </w:tc>
        <w:tc>
          <w:tcPr>
            <w:tcW w:type="dxa" w:w="35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Appairage avec le Move 5000 / DX6000</w:t>
            </w:r>
          </w:p>
        </w:tc>
        <w:tc>
          <w:tcPr>
            <w:tcW w:type="dxa" w:w="35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Mobile : service en salle</w:t>
            </w:r>
          </w:p>
        </w:tc>
      </w:tr>
    </w:tbl>
    <w:p>
      <w:pPr>
        <w:spacing w:after="200"/>
      </w:pPr>
    </w:p>
    <w:p>
      <w:pPr>
        <w:pStyle w:val="Heading3"/>
      </w:pPr>
      <w:r>
        <w:t xml:space="preserve">Flux d’une transaction</w:t>
      </w:r>
    </w:p>
    <w:p>
      <w:pPr>
        <w:spacing w:after="160"/>
      </w:pPr>
      <w:r>
        <w:t xml:space="preserve">1. La caisse construit une trame de paiement contenant : numéro de caisse (2 car.), montant x 100 (8 car.), devise (978 = EUR), type (0 = débit, 1 = crédit).</w:t>
      </w:r>
    </w:p>
    <w:p>
      <w:pPr>
        <w:spacing w:after="160"/>
      </w:pPr>
      <w:r>
        <w:t xml:space="preserve">2. La caisse envoie ENQ (0x05) au TPE. Le TPE répond ACK (0x06).</w:t>
      </w:r>
    </w:p>
    <w:p>
      <w:pPr>
        <w:spacing w:after="160"/>
      </w:pPr>
      <w:r>
        <w:t xml:space="preserve">3. La caisse envoie la trame complète. Le TPE affiche le montant et attend la carte client.</w:t>
      </w:r>
    </w:p>
    <w:p>
      <w:pPr>
        <w:spacing w:after="160"/>
      </w:pPr>
      <w:r>
        <w:t xml:space="preserve">4. Après validation, le TPE renvoie une réponse avec le statut (accepté/refusé) et la référence de transaction.</w:t>
      </w:r>
    </w:p>
    <w:p>
      <w:pPr>
        <w:spacing w:after="160"/>
      </w:pPr>
      <w:r>
        <w:t xml:space="preserve">5. La caisse enregistre la transaction et imprime le ticket.</w:t>
      </w:r>
    </w:p>
    <w:p>
      <w:pPr>
        <w:spacing w:after="200"/>
      </w:pPr>
    </w:p>
    <w:p>
      <w:pPr>
        <w:pStyle w:val="Heading3"/>
      </w:pPr>
      <w:r>
        <w:t xml:space="preserve">Activation de la connexion caisse sur le TPE</w:t>
      </w:r>
    </w:p>
    <w:p>
      <w:pPr>
        <w:spacing w:after="160"/>
      </w:pPr>
      <w:r>
        <w:rPr>
          <w:b/>
          <w:bCs/>
        </w:rPr>
        <w:t xml:space="preserve">Sur le TPE Ingenico, effectuez cette manipulation :</w:t>
      </w:r>
    </w:p>
    <w:p>
      <w:pPr>
        <w:spacing w:after="160"/>
      </w:pPr>
      <w:r>
        <w:t xml:space="preserve">F &gt; 0-TELIUM MANAGER &gt; 5-Initialisation &gt; 1-Paramètres &gt; Connexion caisse &gt; On &gt; USB (ou IP selon votre configuration)</w:t>
      </w:r>
    </w:p>
    <w:p>
      <w:pPr>
        <w:spacing w:after="160"/>
      </w:pPr>
      <w:r>
        <w:t xml:space="preserve">Puis redémarrez le terminal.</w:t>
      </w:r>
    </w:p>
    <w:p>
      <w:pPr>
        <w:spacing w:after="200"/>
      </w:pPr>
    </w:p>
    <w:p>
      <w:pPr>
        <w:pStyle w:val="Heading2"/>
      </w:pPr>
      <w:r>
        <w:t xml:space="preserve">3.3 Ressources de Développement</w:t>
      </w:r>
    </w:p>
    <w:p>
      <w:pPr>
        <w:pStyle w:val="ListParagraph"/>
        <w:numPr>
          <w:ilvl w:val="0"/>
          <w:numId w:val="2"/>
        </w:numPr>
        <w:spacing w:after="80"/>
      </w:pPr>
      <w:r>
        <w:rPr>
          <w:b/>
          <w:bCs/>
        </w:rPr>
        <w:t xml:space="preserve">pypostelium</w:t>
      </w:r>
      <w:r>
        <w:t xml:space="preserve"> (Python) : Bibliothèque open-source sur GitHub (akretion/pypostelium) et PyPI. Implémente le protocole E+ Concert. Référence pour comprendre le protocole.</w:t>
      </w:r>
    </w:p>
    <w:p>
      <w:pPr>
        <w:pStyle w:val="ListParagraph"/>
        <w:numPr>
          <w:ilvl w:val="0"/>
          <w:numId w:val="2"/>
        </w:numPr>
        <w:spacing w:after="80"/>
      </w:pPr>
      <w:r>
        <w:rPr>
          <w:b/>
          <w:bCs/>
        </w:rPr>
        <w:t xml:space="preserve">Association du Paiement</w:t>
      </w:r>
      <w:r>
        <w:t xml:space="preserve"> : Fournit la documentation officielle du protocole Concert V3. Propose des exemples de code en C#, C++, et Java. Site : associationdupaiement.fr</w:t>
      </w:r>
    </w:p>
    <w:p>
      <w:pPr>
        <w:pStyle w:val="ListParagraph"/>
        <w:numPr>
          <w:ilvl w:val="0"/>
          <w:numId w:val="2"/>
        </w:numPr>
        <w:spacing w:after="80"/>
      </w:pPr>
      <w:r>
        <w:rPr>
          <w:b/>
          <w:bCs/>
        </w:rPr>
        <w:t xml:space="preserve">C3Driver (Ingenico)</w:t>
      </w:r>
      <w:r>
        <w:t xml:space="preserve"> : SDK officiel Ingenico pour une intégration avancée. Fonctionne en socket, plus simple que le protocole brut. Demandez-le au CIC.</w:t>
      </w:r>
    </w:p>
    <w:p>
      <w:pPr>
        <w:pStyle w:val="ListParagraph"/>
        <w:numPr>
          <w:ilvl w:val="0"/>
          <w:numId w:val="2"/>
        </w:numPr>
        <w:spacing w:after="80"/>
      </w:pPr>
      <w:r>
        <w:rPr>
          <w:b/>
          <w:bCs/>
        </w:rPr>
        <w:t xml:space="preserve">Socket TCP/IP depuis JavaScript</w:t>
      </w:r>
      <w:r>
        <w:t xml:space="preserve"> : Il est confirmé qu’on peut générer un socket TCP depuis une webapp JS pour interagir avec le TPE en Concert V3.20 (mode serveur).</w:t>
      </w:r>
    </w:p>
    <w:p>
      <w:pPr>
        <w:spacing w:after="200"/>
      </w:pPr>
    </w:p>
    <w:p>
      <w:pPr>
        <w:spacing w:after="160"/>
      </w:pPr>
      <w:r>
        <w:rPr>
          <w:b/>
          <w:bCs/>
        </w:rPr>
        <w:t xml:space="preserve">Action : </w:t>
      </w:r>
      <w:r>
        <w:t xml:space="preserve">Contactez le service monétique du CIC pour obtenir la documentation Concert spécifique à vos terminaux et, si possible, le SDK C3Driver.</w:t>
      </w:r>
    </w:p>
    <w:p>
      <w:pPr>
        <w:spacing w:after="200"/>
      </w:pPr>
    </w:p>
    <w:p>
      <w:pPr>
        <w:sectPr>
          <w:headerReference w:type="default" r:id="rId7"/>
          <w:pgSz w:w="11906" w:h="16838" w:orient="portrait"/>
          <w:pgMar w:top="1440" w:right="1440" w:bottom="1440" w:left="1440" w:header="708" w:footer="708" w:gutter="0"/>
          <w:pgNumType/>
          <w:docGrid w:linePitch="360"/>
        </w:sectPr>
      </w:pPr>
    </w:p>
    <w:p>
      <w:pPr>
        <w:pStyle w:val="Heading1"/>
      </w:pPr>
      <w:r>
        <w:t xml:space="preserve">4. Modules Fonctionnels Détaillés</w:t>
      </w:r>
    </w:p>
    <w:p>
      <w:pPr>
        <w:pBdr>
          <w:bottom w:val="single" w:color="E8632B" w:sz="8" w:space="4"/>
        </w:pBdr>
        <w:spacing w:after="300"/>
      </w:pPr>
    </w:p>
    <w:p>
      <w:pPr>
        <w:pStyle w:val="Heading2"/>
      </w:pPr>
      <w:r>
        <w:t xml:space="preserve">4.1 Module Caisse (POS)</w:t>
      </w:r>
    </w:p>
    <w:p>
      <w:pPr>
        <w:spacing w:after="160"/>
      </w:pPr>
      <w:r>
        <w:t xml:space="preserve">Le cœur du système. Interface tactile optimisée pour une utilisation rapide en service.</w:t>
      </w:r>
    </w:p>
    <w:p>
      <w:pPr>
        <w:pStyle w:val="ListParagraph"/>
        <w:numPr>
          <w:ilvl w:val="0"/>
          <w:numId w:val="2"/>
        </w:numPr>
        <w:spacing w:after="80"/>
      </w:pPr>
      <w:r>
        <w:rPr>
          <w:rFonts w:ascii="Calibri" w:cs="Calibri" w:eastAsia="Calibri" w:hAnsi="Calibri"/>
          <w:sz w:val="22"/>
          <w:szCs w:val="22"/>
        </w:rPr>
        <w:t xml:space="preserve">Grille de produits par catégorie (Entrées, Plats, Desserts, Boissons...)</w:t>
      </w:r>
    </w:p>
    <w:p>
      <w:pPr>
        <w:pStyle w:val="ListParagraph"/>
        <w:numPr>
          <w:ilvl w:val="0"/>
          <w:numId w:val="2"/>
        </w:numPr>
        <w:spacing w:after="80"/>
      </w:pPr>
      <w:r>
        <w:rPr>
          <w:rFonts w:ascii="Calibri" w:cs="Calibri" w:eastAsia="Calibri" w:hAnsi="Calibri"/>
          <w:sz w:val="22"/>
          <w:szCs w:val="22"/>
        </w:rPr>
        <w:t xml:space="preserve">Recherche rapide par nom ou code produit</w:t>
      </w:r>
    </w:p>
    <w:p>
      <w:pPr>
        <w:pStyle w:val="ListParagraph"/>
        <w:numPr>
          <w:ilvl w:val="0"/>
          <w:numId w:val="2"/>
        </w:numPr>
        <w:spacing w:after="80"/>
      </w:pPr>
      <w:r>
        <w:rPr>
          <w:rFonts w:ascii="Calibri" w:cs="Calibri" w:eastAsia="Calibri" w:hAnsi="Calibri"/>
          <w:sz w:val="22"/>
          <w:szCs w:val="22"/>
        </w:rPr>
        <w:t xml:space="preserve">Ajout au panier avec modification quantité (+/-)</w:t>
      </w:r>
    </w:p>
    <w:p>
      <w:pPr>
        <w:pStyle w:val="ListParagraph"/>
        <w:numPr>
          <w:ilvl w:val="0"/>
          <w:numId w:val="2"/>
        </w:numPr>
        <w:spacing w:after="80"/>
      </w:pPr>
      <w:r>
        <w:rPr>
          <w:rFonts w:ascii="Calibri" w:cs="Calibri" w:eastAsia="Calibri" w:hAnsi="Calibri"/>
          <w:sz w:val="22"/>
          <w:szCs w:val="22"/>
        </w:rPr>
        <w:t xml:space="preserve">Application de remises (%, montant fixe, offre spéciale)</w:t>
      </w:r>
    </w:p>
    <w:p>
      <w:pPr>
        <w:pStyle w:val="ListParagraph"/>
        <w:numPr>
          <w:ilvl w:val="0"/>
          <w:numId w:val="2"/>
        </w:numPr>
        <w:spacing w:after="80"/>
      </w:pPr>
      <w:r>
        <w:rPr>
          <w:rFonts w:ascii="Calibri" w:cs="Calibri" w:eastAsia="Calibri" w:hAnsi="Calibri"/>
          <w:sz w:val="22"/>
          <w:szCs w:val="22"/>
        </w:rPr>
        <w:t xml:space="preserve">Paiement : CB (via TPE CIC Concert), espèces, titre-restaurant, mixte</w:t>
      </w:r>
    </w:p>
    <w:p>
      <w:pPr>
        <w:pStyle w:val="ListParagraph"/>
        <w:numPr>
          <w:ilvl w:val="0"/>
          <w:numId w:val="2"/>
        </w:numPr>
        <w:spacing w:after="80"/>
      </w:pPr>
      <w:r>
        <w:rPr>
          <w:rFonts w:ascii="Calibri" w:cs="Calibri" w:eastAsia="Calibri" w:hAnsi="Calibri"/>
          <w:sz w:val="22"/>
          <w:szCs w:val="22"/>
        </w:rPr>
        <w:t xml:space="preserve">Calcul automatique du rendu monnaie</w:t>
      </w:r>
    </w:p>
    <w:p>
      <w:pPr>
        <w:pStyle w:val="ListParagraph"/>
        <w:numPr>
          <w:ilvl w:val="0"/>
          <w:numId w:val="2"/>
        </w:numPr>
        <w:spacing w:after="80"/>
      </w:pPr>
      <w:r>
        <w:rPr>
          <w:rFonts w:ascii="Calibri" w:cs="Calibri" w:eastAsia="Calibri" w:hAnsi="Calibri"/>
          <w:sz w:val="22"/>
          <w:szCs w:val="22"/>
        </w:rPr>
        <w:t xml:space="preserve">Identification client fidélité (QR code, téléphone) et cumul de points</w:t>
      </w:r>
    </w:p>
    <w:p>
      <w:pPr>
        <w:pStyle w:val="ListParagraph"/>
        <w:numPr>
          <w:ilvl w:val="0"/>
          <w:numId w:val="2"/>
        </w:numPr>
        <w:spacing w:after="80"/>
      </w:pPr>
      <w:r>
        <w:rPr>
          <w:rFonts w:ascii="Calibri" w:cs="Calibri" w:eastAsia="Calibri" w:hAnsi="Calibri"/>
          <w:sz w:val="22"/>
          <w:szCs w:val="22"/>
        </w:rPr>
        <w:t xml:space="preserve">Génération et impression du ticket de caisse (conforme NF525)</w:t>
      </w:r>
    </w:p>
    <w:p>
      <w:pPr>
        <w:pStyle w:val="ListParagraph"/>
        <w:numPr>
          <w:ilvl w:val="0"/>
          <w:numId w:val="2"/>
        </w:numPr>
        <w:spacing w:after="80"/>
      </w:pPr>
      <w:r>
        <w:rPr>
          <w:rFonts w:ascii="Calibri" w:cs="Calibri" w:eastAsia="Calibri" w:hAnsi="Calibri"/>
          <w:sz w:val="22"/>
          <w:szCs w:val="22"/>
        </w:rPr>
        <w:t xml:space="preserve">Mode hors-ligne : encaissement possible sans internet (sync auto au retour)</w:t>
      </w:r>
    </w:p>
    <w:p>
      <w:pPr>
        <w:pStyle w:val="ListParagraph"/>
        <w:numPr>
          <w:ilvl w:val="0"/>
          <w:numId w:val="2"/>
        </w:numPr>
        <w:spacing w:after="80"/>
      </w:pPr>
      <w:r>
        <w:rPr>
          <w:rFonts w:ascii="Calibri" w:cs="Calibri" w:eastAsia="Calibri" w:hAnsi="Calibri"/>
          <w:sz w:val="22"/>
          <w:szCs w:val="22"/>
        </w:rPr>
        <w:t xml:space="preserve">Historique des ventes du jour avec annulation/remboursement</w:t>
      </w:r>
    </w:p>
    <w:p>
      <w:pPr>
        <w:spacing w:after="200"/>
      </w:pPr>
    </w:p>
    <w:p>
      <w:pPr>
        <w:pStyle w:val="Heading2"/>
      </w:pPr>
      <w:r>
        <w:t xml:space="preserve">4.2 Module Gestion des Stocks</w:t>
      </w:r>
    </w:p>
    <w:p>
      <w:pPr>
        <w:pStyle w:val="ListParagraph"/>
        <w:numPr>
          <w:ilvl w:val="0"/>
          <w:numId w:val="2"/>
        </w:numPr>
        <w:spacing w:after="80"/>
      </w:pPr>
      <w:r>
        <w:rPr>
          <w:rFonts w:ascii="Calibri" w:cs="Calibri" w:eastAsia="Calibri" w:hAnsi="Calibri"/>
          <w:sz w:val="22"/>
          <w:szCs w:val="22"/>
        </w:rPr>
        <w:t xml:space="preserve">Inventaire des ingrédients et matières premières avec unités (kg, L, pièces)</w:t>
      </w:r>
    </w:p>
    <w:p>
      <w:pPr>
        <w:pStyle w:val="ListParagraph"/>
        <w:numPr>
          <w:ilvl w:val="0"/>
          <w:numId w:val="2"/>
        </w:numPr>
        <w:spacing w:after="80"/>
      </w:pPr>
      <w:r>
        <w:rPr>
          <w:rFonts w:ascii="Calibri" w:cs="Calibri" w:eastAsia="Calibri" w:hAnsi="Calibri"/>
          <w:sz w:val="22"/>
          <w:szCs w:val="22"/>
        </w:rPr>
        <w:t xml:space="preserve">Décrémentation automatique à chaque vente (liée aux fiches recettes)</w:t>
      </w:r>
    </w:p>
    <w:p>
      <w:pPr>
        <w:pStyle w:val="ListParagraph"/>
        <w:numPr>
          <w:ilvl w:val="0"/>
          <w:numId w:val="2"/>
        </w:numPr>
        <w:spacing w:after="80"/>
      </w:pPr>
      <w:r>
        <w:rPr>
          <w:rFonts w:ascii="Calibri" w:cs="Calibri" w:eastAsia="Calibri" w:hAnsi="Calibri"/>
          <w:sz w:val="22"/>
          <w:szCs w:val="22"/>
        </w:rPr>
        <w:t xml:space="preserve">Alertes de stock bas configurable par ingrédient</w:t>
      </w:r>
    </w:p>
    <w:p>
      <w:pPr>
        <w:pStyle w:val="ListParagraph"/>
        <w:numPr>
          <w:ilvl w:val="0"/>
          <w:numId w:val="2"/>
        </w:numPr>
        <w:spacing w:after="80"/>
      </w:pPr>
      <w:r>
        <w:rPr>
          <w:rFonts w:ascii="Calibri" w:cs="Calibri" w:eastAsia="Calibri" w:hAnsi="Calibri"/>
          <w:sz w:val="22"/>
          <w:szCs w:val="22"/>
        </w:rPr>
        <w:t xml:space="preserve">Historique des mouvements (entrées, sorties, pertes, ajustements)</w:t>
      </w:r>
    </w:p>
    <w:p>
      <w:pPr>
        <w:pStyle w:val="ListParagraph"/>
        <w:numPr>
          <w:ilvl w:val="0"/>
          <w:numId w:val="2"/>
        </w:numPr>
        <w:spacing w:after="80"/>
      </w:pPr>
      <w:r>
        <w:rPr>
          <w:rFonts w:ascii="Calibri" w:cs="Calibri" w:eastAsia="Calibri" w:hAnsi="Calibri"/>
          <w:sz w:val="22"/>
          <w:szCs w:val="22"/>
        </w:rPr>
        <w:t xml:space="preserve">Suggestion de commande fournisseur basée sur les seuils</w:t>
      </w:r>
    </w:p>
    <w:p>
      <w:pPr>
        <w:pStyle w:val="ListParagraph"/>
        <w:numPr>
          <w:ilvl w:val="0"/>
          <w:numId w:val="2"/>
        </w:numPr>
        <w:spacing w:after="80"/>
      </w:pPr>
      <w:r>
        <w:rPr>
          <w:rFonts w:ascii="Calibri" w:cs="Calibri" w:eastAsia="Calibri" w:hAnsi="Calibri"/>
          <w:sz w:val="22"/>
          <w:szCs w:val="22"/>
        </w:rPr>
        <w:t xml:space="preserve">Rapport de coût matière par plat (food cost %)</w:t>
      </w:r>
    </w:p>
    <w:p>
      <w:pPr>
        <w:spacing w:after="200"/>
      </w:pPr>
    </w:p>
    <w:p>
      <w:pPr>
        <w:pStyle w:val="Heading2"/>
      </w:pPr>
      <w:r>
        <w:t xml:space="preserve">4.3 Module Multi-Établissements &amp; Franchise</w:t>
      </w:r>
    </w:p>
    <w:p>
      <w:pPr>
        <w:pStyle w:val="ListParagraph"/>
        <w:numPr>
          <w:ilvl w:val="0"/>
          <w:numId w:val="2"/>
        </w:numPr>
        <w:spacing w:after="80"/>
      </w:pPr>
      <w:r>
        <w:rPr>
          <w:rFonts w:ascii="Calibri" w:cs="Calibri" w:eastAsia="Calibri" w:hAnsi="Calibri"/>
          <w:sz w:val="22"/>
          <w:szCs w:val="22"/>
        </w:rPr>
        <w:t xml:space="preserve">Création d’un établissement en quelques clics par le siège</w:t>
      </w:r>
    </w:p>
    <w:p>
      <w:pPr>
        <w:pStyle w:val="ListParagraph"/>
        <w:numPr>
          <w:ilvl w:val="0"/>
          <w:numId w:val="2"/>
        </w:numPr>
        <w:spacing w:after="80"/>
      </w:pPr>
      <w:r>
        <w:rPr>
          <w:rFonts w:ascii="Calibri" w:cs="Calibri" w:eastAsia="Calibri" w:hAnsi="Calibri"/>
          <w:sz w:val="22"/>
          <w:szCs w:val="22"/>
        </w:rPr>
        <w:t xml:space="preserve">Catalogue produits : base commune (siège) + personnalisation locale</w:t>
      </w:r>
    </w:p>
    <w:p>
      <w:pPr>
        <w:pStyle w:val="ListParagraph"/>
        <w:numPr>
          <w:ilvl w:val="0"/>
          <w:numId w:val="2"/>
        </w:numPr>
        <w:spacing w:after="80"/>
      </w:pPr>
      <w:r>
        <w:rPr>
          <w:rFonts w:ascii="Calibri" w:cs="Calibri" w:eastAsia="Calibri" w:hAnsi="Calibri"/>
          <w:sz w:val="22"/>
          <w:szCs w:val="22"/>
        </w:rPr>
        <w:t xml:space="preserve">Tableau de bord siège : CA en temps réel de chaque point de vente</w:t>
      </w:r>
    </w:p>
    <w:p>
      <w:pPr>
        <w:pStyle w:val="ListParagraph"/>
        <w:numPr>
          <w:ilvl w:val="0"/>
          <w:numId w:val="2"/>
        </w:numPr>
        <w:spacing w:after="80"/>
      </w:pPr>
      <w:r>
        <w:rPr>
          <w:rFonts w:ascii="Calibri" w:cs="Calibri" w:eastAsia="Calibri" w:hAnsi="Calibri"/>
          <w:sz w:val="22"/>
          <w:szCs w:val="22"/>
        </w:rPr>
        <w:t xml:space="preserve">Gestion des rôles : Super Admin (siège) &gt; Admin (établissement) &gt; Caissier</w:t>
      </w:r>
    </w:p>
    <w:p>
      <w:pPr>
        <w:pStyle w:val="ListParagraph"/>
        <w:numPr>
          <w:ilvl w:val="0"/>
          <w:numId w:val="2"/>
        </w:numPr>
        <w:spacing w:after="80"/>
      </w:pPr>
      <w:r>
        <w:rPr>
          <w:rFonts w:ascii="Calibri" w:cs="Calibri" w:eastAsia="Calibri" w:hAnsi="Calibri"/>
          <w:sz w:val="22"/>
          <w:szCs w:val="22"/>
        </w:rPr>
        <w:t xml:space="preserve">Consolidation comptable : export global ou par établissement</w:t>
      </w:r>
    </w:p>
    <w:p>
      <w:pPr>
        <w:pStyle w:val="ListParagraph"/>
        <w:numPr>
          <w:ilvl w:val="0"/>
          <w:numId w:val="2"/>
        </w:numPr>
        <w:spacing w:after="80"/>
      </w:pPr>
      <w:r>
        <w:rPr>
          <w:rFonts w:ascii="Calibri" w:cs="Calibri" w:eastAsia="Calibri" w:hAnsi="Calibri"/>
          <w:sz w:val="22"/>
          <w:szCs w:val="22"/>
        </w:rPr>
        <w:t xml:space="preserve">Comparaison de performances entre établissements</w:t>
      </w:r>
    </w:p>
    <w:p>
      <w:pPr>
        <w:spacing w:after="200"/>
      </w:pPr>
    </w:p>
    <w:p>
      <w:pPr>
        <w:pStyle w:val="Heading2"/>
      </w:pPr>
      <w:r>
        <w:t xml:space="preserve">4.4 Module Tableau de Bord &amp; Analytics</w:t>
      </w:r>
    </w:p>
    <w:p>
      <w:pPr>
        <w:pStyle w:val="ListParagraph"/>
        <w:numPr>
          <w:ilvl w:val="0"/>
          <w:numId w:val="2"/>
        </w:numPr>
        <w:spacing w:after="80"/>
      </w:pPr>
      <w:r>
        <w:rPr>
          <w:rFonts w:ascii="Calibri" w:cs="Calibri" w:eastAsia="Calibri" w:hAnsi="Calibri"/>
          <w:sz w:val="22"/>
          <w:szCs w:val="22"/>
        </w:rPr>
        <w:t xml:space="preserve">CA du jour / semaine / mois avec graphiques interactifs</w:t>
      </w:r>
    </w:p>
    <w:p>
      <w:pPr>
        <w:pStyle w:val="ListParagraph"/>
        <w:numPr>
          <w:ilvl w:val="0"/>
          <w:numId w:val="2"/>
        </w:numPr>
        <w:spacing w:after="80"/>
      </w:pPr>
      <w:r>
        <w:rPr>
          <w:rFonts w:ascii="Calibri" w:cs="Calibri" w:eastAsia="Calibri" w:hAnsi="Calibri"/>
          <w:sz w:val="22"/>
          <w:szCs w:val="22"/>
        </w:rPr>
        <w:t xml:space="preserve">Top produits vendus et tendances</w:t>
      </w:r>
    </w:p>
    <w:p>
      <w:pPr>
        <w:pStyle w:val="ListParagraph"/>
        <w:numPr>
          <w:ilvl w:val="0"/>
          <w:numId w:val="2"/>
        </w:numPr>
        <w:spacing w:after="80"/>
      </w:pPr>
      <w:r>
        <w:rPr>
          <w:rFonts w:ascii="Calibri" w:cs="Calibri" w:eastAsia="Calibri" w:hAnsi="Calibri"/>
          <w:sz w:val="22"/>
          <w:szCs w:val="22"/>
        </w:rPr>
        <w:t xml:space="preserve">Panier moyen, nombre de transactions, heures de pointe</w:t>
      </w:r>
    </w:p>
    <w:p>
      <w:pPr>
        <w:pStyle w:val="ListParagraph"/>
        <w:numPr>
          <w:ilvl w:val="0"/>
          <w:numId w:val="2"/>
        </w:numPr>
        <w:spacing w:after="80"/>
      </w:pPr>
      <w:r>
        <w:rPr>
          <w:rFonts w:ascii="Calibri" w:cs="Calibri" w:eastAsia="Calibri" w:hAnsi="Calibri"/>
          <w:sz w:val="22"/>
          <w:szCs w:val="22"/>
        </w:rPr>
        <w:t xml:space="preserve">Rapports TVA automatisés (taux 5.5%, 10%, 20%)</w:t>
      </w:r>
    </w:p>
    <w:p>
      <w:pPr>
        <w:pStyle w:val="ListParagraph"/>
        <w:numPr>
          <w:ilvl w:val="0"/>
          <w:numId w:val="2"/>
        </w:numPr>
        <w:spacing w:after="80"/>
      </w:pPr>
      <w:r>
        <w:rPr>
          <w:rFonts w:ascii="Calibri" w:cs="Calibri" w:eastAsia="Calibri" w:hAnsi="Calibri"/>
          <w:sz w:val="22"/>
          <w:szCs w:val="22"/>
        </w:rPr>
        <w:t xml:space="preserve">Export comptable (format FEC pour la conformité française)</w:t>
      </w:r>
    </w:p>
    <w:p>
      <w:pPr>
        <w:pStyle w:val="ListParagraph"/>
        <w:numPr>
          <w:ilvl w:val="0"/>
          <w:numId w:val="2"/>
        </w:numPr>
        <w:spacing w:after="80"/>
      </w:pPr>
      <w:r>
        <w:rPr>
          <w:rFonts w:ascii="Calibri" w:cs="Calibri" w:eastAsia="Calibri" w:hAnsi="Calibri"/>
          <w:sz w:val="22"/>
          <w:szCs w:val="22"/>
        </w:rPr>
        <w:t xml:space="preserve">Alerte anomalie : écart de caisse, baisse inhabituelle du CA</w:t>
      </w:r>
    </w:p>
    <w:p>
      <w:pPr>
        <w:spacing w:after="200"/>
      </w:pPr>
    </w:p>
    <w:p>
      <w:pPr>
        <w:pStyle w:val="Heading2"/>
      </w:pPr>
      <w:r>
        <w:t xml:space="preserve">4.5 Module SOP &amp; Recettes</w:t>
      </w:r>
    </w:p>
    <w:p>
      <w:pPr>
        <w:pStyle w:val="ListParagraph"/>
        <w:numPr>
          <w:ilvl w:val="0"/>
          <w:numId w:val="2"/>
        </w:numPr>
        <w:spacing w:after="80"/>
      </w:pPr>
      <w:r>
        <w:rPr>
          <w:rFonts w:ascii="Calibri" w:cs="Calibri" w:eastAsia="Calibri" w:hAnsi="Calibri"/>
          <w:sz w:val="22"/>
          <w:szCs w:val="22"/>
        </w:rPr>
        <w:t xml:space="preserve">Création de fiches recettes avec photos, étapes, ingrédients, coûts</w:t>
      </w:r>
    </w:p>
    <w:p>
      <w:pPr>
        <w:pStyle w:val="ListParagraph"/>
        <w:numPr>
          <w:ilvl w:val="0"/>
          <w:numId w:val="2"/>
        </w:numPr>
        <w:spacing w:after="80"/>
      </w:pPr>
      <w:r>
        <w:rPr>
          <w:rFonts w:ascii="Calibri" w:cs="Calibri" w:eastAsia="Calibri" w:hAnsi="Calibri"/>
          <w:sz w:val="22"/>
          <w:szCs w:val="22"/>
        </w:rPr>
        <w:t xml:space="preserve">Upload de documents SOP (procédures HACCP, standards de service)</w:t>
      </w:r>
    </w:p>
    <w:p>
      <w:pPr>
        <w:pStyle w:val="ListParagraph"/>
        <w:numPr>
          <w:ilvl w:val="0"/>
          <w:numId w:val="2"/>
        </w:numPr>
        <w:spacing w:after="80"/>
      </w:pPr>
      <w:r>
        <w:rPr>
          <w:rFonts w:ascii="Calibri" w:cs="Calibri" w:eastAsia="Calibri" w:hAnsi="Calibri"/>
          <w:sz w:val="22"/>
          <w:szCs w:val="22"/>
        </w:rPr>
        <w:t xml:space="preserve">Versioning : chaque mise à jour tracée, historique consultable</w:t>
      </w:r>
    </w:p>
    <w:p>
      <w:pPr>
        <w:pStyle w:val="ListParagraph"/>
        <w:numPr>
          <w:ilvl w:val="0"/>
          <w:numId w:val="2"/>
        </w:numPr>
        <w:spacing w:after="80"/>
      </w:pPr>
      <w:r>
        <w:rPr>
          <w:rFonts w:ascii="Calibri" w:cs="Calibri" w:eastAsia="Calibri" w:hAnsi="Calibri"/>
          <w:sz w:val="22"/>
          <w:szCs w:val="22"/>
        </w:rPr>
        <w:t xml:space="preserve">Diffusion ciblée : tous les établissements ou une sélection</w:t>
      </w:r>
    </w:p>
    <w:p>
      <w:pPr>
        <w:pStyle w:val="ListParagraph"/>
        <w:numPr>
          <w:ilvl w:val="0"/>
          <w:numId w:val="2"/>
        </w:numPr>
        <w:spacing w:after="80"/>
      </w:pPr>
      <w:r>
        <w:rPr>
          <w:rFonts w:ascii="Calibri" w:cs="Calibri" w:eastAsia="Calibri" w:hAnsi="Calibri"/>
          <w:sz w:val="22"/>
          <w:szCs w:val="22"/>
        </w:rPr>
        <w:t xml:space="preserve">Accusé de lecture par établissement</w:t>
      </w:r>
    </w:p>
    <w:p>
      <w:pPr>
        <w:pStyle w:val="ListParagraph"/>
        <w:numPr>
          <w:ilvl w:val="0"/>
          <w:numId w:val="2"/>
        </w:numPr>
        <w:spacing w:after="80"/>
      </w:pPr>
      <w:r>
        <w:rPr>
          <w:rFonts w:ascii="Calibri" w:cs="Calibri" w:eastAsia="Calibri" w:hAnsi="Calibri"/>
          <w:sz w:val="22"/>
          <w:szCs w:val="22"/>
        </w:rPr>
        <w:t xml:space="preserve">Catégories : Nouvelles recettes, Nouvelles collections, Nouvelles méthodes de vente</w:t>
      </w:r>
    </w:p>
    <w:p>
      <w:pPr>
        <w:pStyle w:val="ListParagraph"/>
        <w:numPr>
          <w:ilvl w:val="0"/>
          <w:numId w:val="2"/>
        </w:numPr>
        <w:spacing w:after="80"/>
      </w:pPr>
      <w:r>
        <w:rPr>
          <w:rFonts w:ascii="Calibri" w:cs="Calibri" w:eastAsia="Calibri" w:hAnsi="Calibri"/>
          <w:sz w:val="22"/>
          <w:szCs w:val="22"/>
        </w:rPr>
        <w:t xml:space="preserve">Lien direct produit → recette : food cost mis à jour automatiquement</w:t>
      </w:r>
    </w:p>
    <w:p>
      <w:pPr>
        <w:spacing w:after="200"/>
      </w:pPr>
    </w:p>
    <w:p>
      <w:pPr>
        <w:pStyle w:val="Heading2"/>
      </w:pPr>
      <w:r>
        <w:t xml:space="preserve">4.6 Module CRM &amp; Fidélité Client</w:t>
      </w:r>
    </w:p>
    <w:p>
      <w:pPr>
        <w:spacing w:after="160"/>
      </w:pPr>
      <w:r>
        <w:rPr>
          <w:b/>
          <w:bCs/>
        </w:rPr>
        <w:t xml:space="preserve">Stratégie : </w:t>
      </w:r>
      <w:r>
        <w:t xml:space="preserve">L’architecture (tables Customer, LoyaltyReward, LoyaltyTransaction) est posée dès la Phase 1. L’interface est développée en Phase 4.</w:t>
      </w:r>
    </w:p>
    <w:p>
      <w:pPr>
        <w:spacing w:after="200"/>
      </w:pPr>
    </w:p>
    <w:p>
      <w:pPr>
        <w:pStyle w:val="Heading3"/>
      </w:pPr>
      <w:r>
        <w:t xml:space="preserve">Identification client</w:t>
      </w:r>
    </w:p>
    <w:p>
      <w:pPr>
        <w:pStyle w:val="ListParagraph"/>
        <w:numPr>
          <w:ilvl w:val="0"/>
          <w:numId w:val="2"/>
        </w:numPr>
        <w:spacing w:after="80"/>
      </w:pPr>
      <w:r>
        <w:rPr>
          <w:rFonts w:ascii="Calibri" w:cs="Calibri" w:eastAsia="Calibri" w:hAnsi="Calibri"/>
          <w:sz w:val="22"/>
          <w:szCs w:val="22"/>
        </w:rPr>
        <w:t xml:space="preserve">Par numéro de téléphone (saisie rapide au moment de l’encaissement)</w:t>
      </w:r>
    </w:p>
    <w:p>
      <w:pPr>
        <w:pStyle w:val="ListParagraph"/>
        <w:numPr>
          <w:ilvl w:val="0"/>
          <w:numId w:val="2"/>
        </w:numPr>
        <w:spacing w:after="80"/>
      </w:pPr>
      <w:r>
        <w:rPr>
          <w:rFonts w:ascii="Calibri" w:cs="Calibri" w:eastAsia="Calibri" w:hAnsi="Calibri"/>
          <w:sz w:val="22"/>
          <w:szCs w:val="22"/>
        </w:rPr>
        <w:t xml:space="preserve">Par QR code personnel (généré à l’inscription, imprimable)</w:t>
      </w:r>
    </w:p>
    <w:p>
      <w:pPr>
        <w:pStyle w:val="ListParagraph"/>
        <w:numPr>
          <w:ilvl w:val="0"/>
          <w:numId w:val="2"/>
        </w:numPr>
        <w:spacing w:after="80"/>
      </w:pPr>
      <w:r>
        <w:rPr>
          <w:rFonts w:ascii="Calibri" w:cs="Calibri" w:eastAsia="Calibri" w:hAnsi="Calibri"/>
          <w:sz w:val="22"/>
          <w:szCs w:val="22"/>
        </w:rPr>
        <w:t xml:space="preserve">Inscription simplifiée : nom + téléphone minimum, email optionnel</w:t>
      </w:r>
    </w:p>
    <w:p>
      <w:pPr>
        <w:spacing w:after="200"/>
      </w:pPr>
    </w:p>
    <w:p>
      <w:pPr>
        <w:pStyle w:val="Heading3"/>
      </w:pPr>
      <w:r>
        <w:t xml:space="preserve">Programme de fidélité</w:t>
      </w:r>
    </w:p>
    <w:p>
      <w:pPr>
        <w:pStyle w:val="ListParagraph"/>
        <w:numPr>
          <w:ilvl w:val="0"/>
          <w:numId w:val="2"/>
        </w:numPr>
        <w:spacing w:after="80"/>
      </w:pPr>
      <w:r>
        <w:rPr>
          <w:rFonts w:ascii="Calibri" w:cs="Calibri" w:eastAsia="Calibri" w:hAnsi="Calibri"/>
          <w:sz w:val="22"/>
          <w:szCs w:val="22"/>
        </w:rPr>
        <w:t xml:space="preserve">Cumul de points automatique à chaque achat (1€ = X points, configurable)</w:t>
      </w:r>
    </w:p>
    <w:p>
      <w:pPr>
        <w:pStyle w:val="ListParagraph"/>
        <w:numPr>
          <w:ilvl w:val="0"/>
          <w:numId w:val="2"/>
        </w:numPr>
        <w:spacing w:after="80"/>
      </w:pPr>
      <w:r>
        <w:rPr>
          <w:rFonts w:ascii="Calibri" w:cs="Calibri" w:eastAsia="Calibri" w:hAnsi="Calibri"/>
          <w:sz w:val="22"/>
          <w:szCs w:val="22"/>
        </w:rPr>
        <w:t xml:space="preserve">Paliers de fidélité (Bronze, Argent, Or) avec avantages progressifs</w:t>
      </w:r>
    </w:p>
    <w:p>
      <w:pPr>
        <w:pStyle w:val="ListParagraph"/>
        <w:numPr>
          <w:ilvl w:val="0"/>
          <w:numId w:val="2"/>
        </w:numPr>
        <w:spacing w:after="80"/>
      </w:pPr>
      <w:r>
        <w:rPr>
          <w:rFonts w:ascii="Calibri" w:cs="Calibri" w:eastAsia="Calibri" w:hAnsi="Calibri"/>
          <w:sz w:val="22"/>
          <w:szCs w:val="22"/>
        </w:rPr>
        <w:t xml:space="preserve">Récompenses configurables par le siège : remise %, produit offert, montant fixe</w:t>
      </w:r>
    </w:p>
    <w:p>
      <w:pPr>
        <w:pStyle w:val="ListParagraph"/>
        <w:numPr>
          <w:ilvl w:val="0"/>
          <w:numId w:val="2"/>
        </w:numPr>
        <w:spacing w:after="80"/>
      </w:pPr>
      <w:r>
        <w:rPr>
          <w:rFonts w:ascii="Calibri" w:cs="Calibri" w:eastAsia="Calibri" w:hAnsi="Calibri"/>
          <w:sz w:val="22"/>
          <w:szCs w:val="22"/>
        </w:rPr>
        <w:t xml:space="preserve">Historique complet des visites et achats par client</w:t>
      </w:r>
    </w:p>
    <w:p>
      <w:pPr>
        <w:pStyle w:val="ListParagraph"/>
        <w:numPr>
          <w:ilvl w:val="0"/>
          <w:numId w:val="2"/>
        </w:numPr>
        <w:spacing w:after="80"/>
      </w:pPr>
      <w:r>
        <w:rPr>
          <w:rFonts w:ascii="Calibri" w:cs="Calibri" w:eastAsia="Calibri" w:hAnsi="Calibri"/>
          <w:sz w:val="22"/>
          <w:szCs w:val="22"/>
        </w:rPr>
        <w:t xml:space="preserve">Campagnes ciblées : anniversaire, client inactif depuis X jours</w:t>
      </w:r>
    </w:p>
    <w:p>
      <w:pPr>
        <w:spacing w:after="200"/>
      </w:pPr>
    </w:p>
    <w:p>
      <w:pPr>
        <w:pStyle w:val="Heading3"/>
      </w:pPr>
      <w:r>
        <w:t xml:space="preserve">Tableau de bord CRM</w:t>
      </w:r>
    </w:p>
    <w:p>
      <w:pPr>
        <w:pStyle w:val="ListParagraph"/>
        <w:numPr>
          <w:ilvl w:val="0"/>
          <w:numId w:val="2"/>
        </w:numPr>
        <w:spacing w:after="80"/>
      </w:pPr>
      <w:r>
        <w:rPr>
          <w:rFonts w:ascii="Calibri" w:cs="Calibri" w:eastAsia="Calibri" w:hAnsi="Calibri"/>
          <w:sz w:val="22"/>
          <w:szCs w:val="22"/>
        </w:rPr>
        <w:t xml:space="preserve">Nombre de clients actifs, taux de rétention, fréquence de visite</w:t>
      </w:r>
    </w:p>
    <w:p>
      <w:pPr>
        <w:pStyle w:val="ListParagraph"/>
        <w:numPr>
          <w:ilvl w:val="0"/>
          <w:numId w:val="2"/>
        </w:numPr>
        <w:spacing w:after="80"/>
      </w:pPr>
      <w:r>
        <w:rPr>
          <w:rFonts w:ascii="Calibri" w:cs="Calibri" w:eastAsia="Calibri" w:hAnsi="Calibri"/>
          <w:sz w:val="22"/>
          <w:szCs w:val="22"/>
        </w:rPr>
        <w:t xml:space="preserve">Segments clients automatiques (VIP, réguliers, occasionnels, inactifs)</w:t>
      </w:r>
    </w:p>
    <w:p>
      <w:pPr>
        <w:pStyle w:val="ListParagraph"/>
        <w:numPr>
          <w:ilvl w:val="0"/>
          <w:numId w:val="2"/>
        </w:numPr>
        <w:spacing w:after="80"/>
      </w:pPr>
      <w:r>
        <w:rPr>
          <w:rFonts w:ascii="Calibri" w:cs="Calibri" w:eastAsia="Calibri" w:hAnsi="Calibri"/>
          <w:sz w:val="22"/>
          <w:szCs w:val="22"/>
        </w:rPr>
        <w:t xml:space="preserve">Panier moyen par segment, produits préférés</w:t>
      </w:r>
    </w:p>
    <w:p>
      <w:pPr>
        <w:spacing w:after="200"/>
      </w:pPr>
    </w:p>
    <w:p>
      <w:pPr>
        <w:spacing w:after="160"/>
      </w:pPr>
      <w:r>
        <w:rPr>
          <w:i/>
          <w:iCs/>
          <w:color w:val="666666"/>
        </w:rPr>
        <w:t xml:space="preserve">RGPD : Consentement explicite à l’inscription. Droit à l’effacement. Hébergement UE (Supabase EU).</w:t>
      </w:r>
    </w:p>
    <w:p>
      <w:pPr>
        <w:spacing w:after="200"/>
      </w:pPr>
    </w:p>
    <w:p>
      <w:pPr>
        <w:sectPr>
          <w:headerReference w:type="default" r:id="rId8"/>
          <w:pgSz w:w="11906" w:h="16838" w:orient="portrait"/>
          <w:pgMar w:top="1440" w:right="1440" w:bottom="1440" w:left="1440" w:header="708" w:footer="708" w:gutter="0"/>
          <w:pgNumType/>
          <w:docGrid w:linePitch="360"/>
        </w:sectPr>
      </w:pPr>
    </w:p>
    <w:p>
      <w:pPr>
        <w:pStyle w:val="Heading1"/>
      </w:pPr>
      <w:r>
        <w:t xml:space="preserve">5. Roadmap de Développement</w:t>
      </w:r>
    </w:p>
    <w:p>
      <w:pPr>
        <w:pBdr>
          <w:bottom w:val="single" w:color="E8632B" w:sz="8" w:space="4"/>
        </w:pBdr>
        <w:spacing w:after="300"/>
      </w:pPr>
    </w:p>
    <w:p>
      <w:pPr>
        <w:spacing w:after="160"/>
      </w:pPr>
      <w:r>
        <w:rPr>
          <w:i/>
          <w:iCs/>
          <w:color w:val="666666"/>
        </w:rPr>
        <w:t xml:space="preserve">Planning en 5 phases. Chaque phase est un livrable fonctionnel. Le CRM est architecturé dès la Phase 1, développé en Phase 4.</w:t>
      </w:r>
    </w:p>
    <w:p>
      <w:pPr>
        <w:spacing w:after="200"/>
      </w:pPr>
    </w:p>
    <w:p>
      <w:pPr>
        <w:pStyle w:val="Heading2"/>
      </w:pPr>
      <w:r>
        <w:t xml:space="preserve">Phase 1 — Fondations (Semaines 1–4)</w:t>
      </w:r>
    </w:p>
    <w:p>
      <w:pPr>
        <w:spacing w:after="160"/>
      </w:pPr>
      <w:r>
        <w:rPr>
          <w:b/>
          <w:bCs/>
        </w:rPr>
        <w:t xml:space="preserve">Objectif : </w:t>
      </w:r>
      <w:r>
        <w:t xml:space="preserve">Squelette fonctionnel avec auth, produits, et structure BDD complète.</w:t>
      </w:r>
    </w:p>
    <w:p>
      <w:pPr>
        <w:pStyle w:val="ListParagraph"/>
        <w:numPr>
          <w:ilvl w:val="0"/>
          <w:numId w:val="2"/>
        </w:numPr>
        <w:spacing w:after="80"/>
      </w:pPr>
      <w:r>
        <w:rPr>
          <w:rFonts w:ascii="Calibri" w:cs="Calibri" w:eastAsia="Calibri" w:hAnsi="Calibri"/>
          <w:sz w:val="22"/>
          <w:szCs w:val="22"/>
        </w:rPr>
        <w:t xml:space="preserve">Setup Next.js 14 + TypeScript + Tailwind + Supabase</w:t>
      </w:r>
    </w:p>
    <w:p>
      <w:pPr>
        <w:pStyle w:val="ListParagraph"/>
        <w:numPr>
          <w:ilvl w:val="0"/>
          <w:numId w:val="2"/>
        </w:numPr>
        <w:spacing w:after="80"/>
      </w:pPr>
      <w:r>
        <w:rPr>
          <w:rFonts w:ascii="Calibri" w:cs="Calibri" w:eastAsia="Calibri" w:hAnsi="Calibri"/>
          <w:sz w:val="22"/>
          <w:szCs w:val="22"/>
        </w:rPr>
        <w:t xml:space="preserve">Modèle de données complet incluant les tables Customer et Loyalty (vides mais prêtes)</w:t>
      </w:r>
    </w:p>
    <w:p>
      <w:pPr>
        <w:pStyle w:val="ListParagraph"/>
        <w:numPr>
          <w:ilvl w:val="0"/>
          <w:numId w:val="2"/>
        </w:numPr>
        <w:spacing w:after="80"/>
      </w:pPr>
      <w:r>
        <w:rPr>
          <w:rFonts w:ascii="Calibri" w:cs="Calibri" w:eastAsia="Calibri" w:hAnsi="Calibri"/>
          <w:sz w:val="22"/>
          <w:szCs w:val="22"/>
        </w:rPr>
        <w:t xml:space="preserve">Authentification (inscription, connexion, rôles)</w:t>
      </w:r>
    </w:p>
    <w:p>
      <w:pPr>
        <w:pStyle w:val="ListParagraph"/>
        <w:numPr>
          <w:ilvl w:val="0"/>
          <w:numId w:val="2"/>
        </w:numPr>
        <w:spacing w:after="80"/>
      </w:pPr>
      <w:r>
        <w:rPr>
          <w:rFonts w:ascii="Calibri" w:cs="Calibri" w:eastAsia="Calibri" w:hAnsi="Calibri"/>
          <w:sz w:val="22"/>
          <w:szCs w:val="22"/>
        </w:rPr>
        <w:t xml:space="preserve">Interface de base : layout, navigation, thème Alloflow</w:t>
      </w:r>
    </w:p>
    <w:p>
      <w:pPr>
        <w:pStyle w:val="ListParagraph"/>
        <w:numPr>
          <w:ilvl w:val="0"/>
          <w:numId w:val="2"/>
        </w:numPr>
        <w:spacing w:after="80"/>
      </w:pPr>
      <w:r>
        <w:rPr>
          <w:rFonts w:ascii="Calibri" w:cs="Calibri" w:eastAsia="Calibri" w:hAnsi="Calibri"/>
          <w:sz w:val="22"/>
          <w:szCs w:val="22"/>
        </w:rPr>
        <w:t xml:space="preserve">CRUD Produits : créer, modifier, supprimer des articles</w:t>
      </w:r>
    </w:p>
    <w:p>
      <w:pPr>
        <w:pStyle w:val="ListParagraph"/>
        <w:numPr>
          <w:ilvl w:val="0"/>
          <w:numId w:val="2"/>
        </w:numPr>
        <w:spacing w:after="80"/>
      </w:pPr>
      <w:r>
        <w:rPr>
          <w:rFonts w:ascii="Calibri" w:cs="Calibri" w:eastAsia="Calibri" w:hAnsi="Calibri"/>
          <w:sz w:val="22"/>
          <w:szCs w:val="22"/>
        </w:rPr>
        <w:t xml:space="preserve">CI/CD : déploiement automatique sur Vercel</w:t>
      </w:r>
    </w:p>
    <w:p>
      <w:pPr>
        <w:spacing w:after="160"/>
      </w:pPr>
      <w:r>
        <w:rPr>
          <w:b/>
          <w:bCs/>
        </w:rPr>
        <w:t xml:space="preserve">Livrable : </w:t>
      </w:r>
      <w:r>
        <w:t xml:space="preserve">Application déployée avec gestion des produits et utilisateurs.</w:t>
      </w:r>
    </w:p>
    <w:p>
      <w:pPr>
        <w:spacing w:after="200"/>
      </w:pPr>
    </w:p>
    <w:p>
      <w:pPr>
        <w:pStyle w:val="Heading2"/>
      </w:pPr>
      <w:r>
        <w:t xml:space="preserve">Phase 2 — Caisse &amp; Encaissement (Semaines 5–8)</w:t>
      </w:r>
    </w:p>
    <w:p>
      <w:pPr>
        <w:spacing w:after="160"/>
      </w:pPr>
      <w:r>
        <w:rPr>
          <w:b/>
          <w:bCs/>
        </w:rPr>
        <w:t xml:space="preserve">Objectif : </w:t>
      </w:r>
      <w:r>
        <w:t xml:space="preserve">Encaisser un client en conditions réelles.</w:t>
      </w:r>
    </w:p>
    <w:p>
      <w:pPr>
        <w:pStyle w:val="ListParagraph"/>
        <w:numPr>
          <w:ilvl w:val="0"/>
          <w:numId w:val="2"/>
        </w:numPr>
        <w:spacing w:after="80"/>
      </w:pPr>
      <w:r>
        <w:rPr>
          <w:rFonts w:ascii="Calibri" w:cs="Calibri" w:eastAsia="Calibri" w:hAnsi="Calibri"/>
          <w:sz w:val="22"/>
          <w:szCs w:val="22"/>
        </w:rPr>
        <w:t xml:space="preserve">Interface caisse tactile (grille produits, panier, paiement)</w:t>
      </w:r>
    </w:p>
    <w:p>
      <w:pPr>
        <w:pStyle w:val="ListParagraph"/>
        <w:numPr>
          <w:ilvl w:val="0"/>
          <w:numId w:val="2"/>
        </w:numPr>
        <w:spacing w:after="80"/>
      </w:pPr>
      <w:r>
        <w:rPr>
          <w:rFonts w:ascii="Calibri" w:cs="Calibri" w:eastAsia="Calibri" w:hAnsi="Calibri"/>
          <w:sz w:val="22"/>
          <w:szCs w:val="22"/>
        </w:rPr>
        <w:t xml:space="preserve">Gestion espèces + calcul rendu monnaie</w:t>
      </w:r>
    </w:p>
    <w:p>
      <w:pPr>
        <w:pStyle w:val="ListParagraph"/>
        <w:numPr>
          <w:ilvl w:val="0"/>
          <w:numId w:val="2"/>
        </w:numPr>
        <w:spacing w:after="80"/>
      </w:pPr>
      <w:r>
        <w:rPr>
          <w:rFonts w:ascii="Calibri" w:cs="Calibri" w:eastAsia="Calibri" w:hAnsi="Calibri"/>
          <w:sz w:val="22"/>
          <w:szCs w:val="22"/>
        </w:rPr>
        <w:t xml:space="preserve">Génération de tickets (conforme NF525)</w:t>
      </w:r>
    </w:p>
    <w:p>
      <w:pPr>
        <w:pStyle w:val="ListParagraph"/>
        <w:numPr>
          <w:ilvl w:val="0"/>
          <w:numId w:val="2"/>
        </w:numPr>
        <w:spacing w:after="80"/>
      </w:pPr>
      <w:r>
        <w:rPr>
          <w:rFonts w:ascii="Calibri" w:cs="Calibri" w:eastAsia="Calibri" w:hAnsi="Calibri"/>
          <w:sz w:val="22"/>
          <w:szCs w:val="22"/>
        </w:rPr>
        <w:t xml:space="preserve">Connexion au TPE CIC (protocole Caisse Concert V3)</w:t>
      </w:r>
    </w:p>
    <w:p>
      <w:pPr>
        <w:pStyle w:val="ListParagraph"/>
        <w:numPr>
          <w:ilvl w:val="0"/>
          <w:numId w:val="2"/>
        </w:numPr>
        <w:spacing w:after="80"/>
      </w:pPr>
      <w:r>
        <w:rPr>
          <w:rFonts w:ascii="Calibri" w:cs="Calibri" w:eastAsia="Calibri" w:hAnsi="Calibri"/>
          <w:sz w:val="22"/>
          <w:szCs w:val="22"/>
        </w:rPr>
        <w:t xml:space="preserve">Mode PWA : installation sur tablette, fonctionnement offline</w:t>
      </w:r>
    </w:p>
    <w:p>
      <w:pPr>
        <w:pStyle w:val="ListParagraph"/>
        <w:numPr>
          <w:ilvl w:val="0"/>
          <w:numId w:val="2"/>
        </w:numPr>
        <w:spacing w:after="80"/>
      </w:pPr>
      <w:r>
        <w:rPr>
          <w:rFonts w:ascii="Calibri" w:cs="Calibri" w:eastAsia="Calibri" w:hAnsi="Calibri"/>
          <w:sz w:val="22"/>
          <w:szCs w:val="22"/>
        </w:rPr>
        <w:t xml:space="preserve">Historique des ventes + clôture de caisse</w:t>
      </w:r>
    </w:p>
    <w:p>
      <w:pPr>
        <w:spacing w:after="160"/>
      </w:pPr>
      <w:r>
        <w:rPr>
          <w:b/>
          <w:bCs/>
        </w:rPr>
        <w:t xml:space="preserve">Livrable : </w:t>
      </w:r>
      <w:r>
        <w:t xml:space="preserve">Caisse utilisable en restaurant avec paiement CB et espèces.</w:t>
      </w:r>
    </w:p>
    <w:p>
      <w:pPr>
        <w:spacing w:after="200"/>
      </w:pPr>
    </w:p>
    <w:p>
      <w:pPr>
        <w:pStyle w:val="Heading2"/>
      </w:pPr>
      <w:r>
        <w:t xml:space="preserve">Phase 3 — Stocks &amp; SOP (Semaines 9–12)</w:t>
      </w:r>
    </w:p>
    <w:p>
      <w:pPr>
        <w:spacing w:after="160"/>
      </w:pPr>
      <w:r>
        <w:rPr>
          <w:b/>
          <w:bCs/>
        </w:rPr>
        <w:t xml:space="preserve">Objectif : </w:t>
      </w:r>
      <w:r>
        <w:t xml:space="preserve">Gérer les stocks et diffuser les fiches recettes / SOP.</w:t>
      </w:r>
    </w:p>
    <w:p>
      <w:pPr>
        <w:pStyle w:val="ListParagraph"/>
        <w:numPr>
          <w:ilvl w:val="0"/>
          <w:numId w:val="2"/>
        </w:numPr>
        <w:spacing w:after="80"/>
      </w:pPr>
      <w:r>
        <w:rPr>
          <w:rFonts w:ascii="Calibri" w:cs="Calibri" w:eastAsia="Calibri" w:hAnsi="Calibri"/>
          <w:sz w:val="22"/>
          <w:szCs w:val="22"/>
        </w:rPr>
        <w:t xml:space="preserve">Module stocks : inventaire, mouvements, alertes</w:t>
      </w:r>
    </w:p>
    <w:p>
      <w:pPr>
        <w:pStyle w:val="ListParagraph"/>
        <w:numPr>
          <w:ilvl w:val="0"/>
          <w:numId w:val="2"/>
        </w:numPr>
        <w:spacing w:after="80"/>
      </w:pPr>
      <w:r>
        <w:rPr>
          <w:rFonts w:ascii="Calibri" w:cs="Calibri" w:eastAsia="Calibri" w:hAnsi="Calibri"/>
          <w:sz w:val="22"/>
          <w:szCs w:val="22"/>
        </w:rPr>
        <w:t xml:space="preserve">Lien produit → ingrédients (décrémentation auto)</w:t>
      </w:r>
    </w:p>
    <w:p>
      <w:pPr>
        <w:pStyle w:val="ListParagraph"/>
        <w:numPr>
          <w:ilvl w:val="0"/>
          <w:numId w:val="2"/>
        </w:numPr>
        <w:spacing w:after="80"/>
      </w:pPr>
      <w:r>
        <w:rPr>
          <w:rFonts w:ascii="Calibri" w:cs="Calibri" w:eastAsia="Calibri" w:hAnsi="Calibri"/>
          <w:sz w:val="22"/>
          <w:szCs w:val="22"/>
        </w:rPr>
        <w:t xml:space="preserve">Fiches recettes avec upload média</w:t>
      </w:r>
    </w:p>
    <w:p>
      <w:pPr>
        <w:pStyle w:val="ListParagraph"/>
        <w:numPr>
          <w:ilvl w:val="0"/>
          <w:numId w:val="2"/>
        </w:numPr>
        <w:spacing w:after="80"/>
      </w:pPr>
      <w:r>
        <w:rPr>
          <w:rFonts w:ascii="Calibri" w:cs="Calibri" w:eastAsia="Calibri" w:hAnsi="Calibri"/>
          <w:sz w:val="22"/>
          <w:szCs w:val="22"/>
        </w:rPr>
        <w:t xml:space="preserve">Module SOP : création, catégorisation, diffusion, accusé de lecture</w:t>
      </w:r>
    </w:p>
    <w:p>
      <w:pPr>
        <w:pStyle w:val="ListParagraph"/>
        <w:numPr>
          <w:ilvl w:val="0"/>
          <w:numId w:val="2"/>
        </w:numPr>
        <w:spacing w:after="80"/>
      </w:pPr>
      <w:r>
        <w:rPr>
          <w:rFonts w:ascii="Calibri" w:cs="Calibri" w:eastAsia="Calibri" w:hAnsi="Calibri"/>
          <w:sz w:val="22"/>
          <w:szCs w:val="22"/>
        </w:rPr>
        <w:t xml:space="preserve">Calcul food cost automatique</w:t>
      </w:r>
    </w:p>
    <w:p>
      <w:pPr>
        <w:spacing w:after="160"/>
      </w:pPr>
      <w:r>
        <w:rPr>
          <w:b/>
          <w:bCs/>
        </w:rPr>
        <w:t xml:space="preserve">Livrable : </w:t>
      </w:r>
      <w:r>
        <w:t xml:space="preserve">Back-office opérationnel complet.</w:t>
      </w:r>
    </w:p>
    <w:p>
      <w:pPr>
        <w:spacing w:after="200"/>
      </w:pPr>
    </w:p>
    <w:p>
      <w:pPr>
        <w:pStyle w:val="Heading2"/>
      </w:pPr>
      <w:r>
        <w:t xml:space="preserve">Phase 4 — Multi-sites, Analytics &amp; CRM (Semaines 13–18)</w:t>
      </w:r>
    </w:p>
    <w:p>
      <w:pPr>
        <w:spacing w:after="160"/>
      </w:pPr>
      <w:r>
        <w:rPr>
          <w:b/>
          <w:bCs/>
        </w:rPr>
        <w:t xml:space="preserve">Objectif : </w:t>
      </w:r>
      <w:r>
        <w:t xml:space="preserve">Piloter plusieurs établissements, analyser les performances, fidéliser les clients.</w:t>
      </w:r>
    </w:p>
    <w:p>
      <w:pPr>
        <w:pStyle w:val="ListParagraph"/>
        <w:numPr>
          <w:ilvl w:val="0"/>
          <w:numId w:val="2"/>
        </w:numPr>
        <w:spacing w:after="80"/>
      </w:pPr>
      <w:r>
        <w:rPr>
          <w:rFonts w:ascii="Calibri" w:cs="Calibri" w:eastAsia="Calibri" w:hAnsi="Calibri"/>
          <w:sz w:val="22"/>
          <w:szCs w:val="22"/>
        </w:rPr>
        <w:t xml:space="preserve">Architecture multi-tenant : organisations, établissements</w:t>
      </w:r>
    </w:p>
    <w:p>
      <w:pPr>
        <w:pStyle w:val="ListParagraph"/>
        <w:numPr>
          <w:ilvl w:val="0"/>
          <w:numId w:val="2"/>
        </w:numPr>
        <w:spacing w:after="80"/>
      </w:pPr>
      <w:r>
        <w:rPr>
          <w:rFonts w:ascii="Calibri" w:cs="Calibri" w:eastAsia="Calibri" w:hAnsi="Calibri"/>
          <w:sz w:val="22"/>
          <w:szCs w:val="22"/>
        </w:rPr>
        <w:t xml:space="preserve">Dashboard siège avec vue consolidée</w:t>
      </w:r>
    </w:p>
    <w:p>
      <w:pPr>
        <w:pStyle w:val="ListParagraph"/>
        <w:numPr>
          <w:ilvl w:val="0"/>
          <w:numId w:val="2"/>
        </w:numPr>
        <w:spacing w:after="80"/>
      </w:pPr>
      <w:r>
        <w:rPr>
          <w:rFonts w:ascii="Calibri" w:cs="Calibri" w:eastAsia="Calibri" w:hAnsi="Calibri"/>
          <w:sz w:val="22"/>
          <w:szCs w:val="22"/>
        </w:rPr>
        <w:t xml:space="preserve">Graphiques interactifs (CA, tendances, comparaisons)</w:t>
      </w:r>
    </w:p>
    <w:p>
      <w:pPr>
        <w:pStyle w:val="ListParagraph"/>
        <w:numPr>
          <w:ilvl w:val="0"/>
          <w:numId w:val="2"/>
        </w:numPr>
        <w:spacing w:after="80"/>
      </w:pPr>
      <w:r>
        <w:rPr>
          <w:rFonts w:ascii="Calibri" w:cs="Calibri" w:eastAsia="Calibri" w:hAnsi="Calibri"/>
          <w:sz w:val="22"/>
          <w:szCs w:val="22"/>
        </w:rPr>
        <w:t xml:space="preserve">Rapports TVA et exports comptables (FEC)</w:t>
      </w:r>
    </w:p>
    <w:p>
      <w:pPr>
        <w:pStyle w:val="ListParagraph"/>
        <w:numPr>
          <w:ilvl w:val="0"/>
          <w:numId w:val="2"/>
        </w:numPr>
        <w:spacing w:after="80"/>
      </w:pPr>
      <w:r>
        <w:rPr>
          <w:rFonts w:ascii="Calibri" w:cs="Calibri" w:eastAsia="Calibri" w:hAnsi="Calibri"/>
          <w:sz w:val="22"/>
          <w:szCs w:val="22"/>
        </w:rPr>
        <w:t xml:space="preserve">Interface CRM fidélité : inscription client, cumul points, récompenses</w:t>
      </w:r>
    </w:p>
    <w:p>
      <w:pPr>
        <w:pStyle w:val="ListParagraph"/>
        <w:numPr>
          <w:ilvl w:val="0"/>
          <w:numId w:val="2"/>
        </w:numPr>
        <w:spacing w:after="80"/>
      </w:pPr>
      <w:r>
        <w:rPr>
          <w:rFonts w:ascii="Calibri" w:cs="Calibri" w:eastAsia="Calibri" w:hAnsi="Calibri"/>
          <w:sz w:val="22"/>
          <w:szCs w:val="22"/>
        </w:rPr>
        <w:t xml:space="preserve">Identification client à la caisse (QR code / téléphone)</w:t>
      </w:r>
    </w:p>
    <w:p>
      <w:pPr>
        <w:pStyle w:val="ListParagraph"/>
        <w:numPr>
          <w:ilvl w:val="0"/>
          <w:numId w:val="2"/>
        </w:numPr>
        <w:spacing w:after="80"/>
      </w:pPr>
      <w:r>
        <w:rPr>
          <w:rFonts w:ascii="Calibri" w:cs="Calibri" w:eastAsia="Calibri" w:hAnsi="Calibri"/>
          <w:sz w:val="22"/>
          <w:szCs w:val="22"/>
        </w:rPr>
        <w:t xml:space="preserve">Tableau de bord CRM : segments, rétention, campagnes</w:t>
      </w:r>
    </w:p>
    <w:p>
      <w:pPr>
        <w:pStyle w:val="ListParagraph"/>
        <w:numPr>
          <w:ilvl w:val="0"/>
          <w:numId w:val="2"/>
        </w:numPr>
        <w:spacing w:after="80"/>
      </w:pPr>
      <w:r>
        <w:rPr>
          <w:rFonts w:ascii="Calibri" w:cs="Calibri" w:eastAsia="Calibri" w:hAnsi="Calibri"/>
          <w:sz w:val="22"/>
          <w:szCs w:val="22"/>
        </w:rPr>
        <w:t xml:space="preserve">Onboarding franchisé en self-service</w:t>
      </w:r>
    </w:p>
    <w:p>
      <w:pPr>
        <w:spacing w:after="160"/>
      </w:pPr>
      <w:r>
        <w:rPr>
          <w:b/>
          <w:bCs/>
        </w:rPr>
        <w:t xml:space="preserve">Livrable : </w:t>
      </w:r>
      <w:r>
        <w:t xml:space="preserve">Plateforme multi-sites avec analytics et CRM fidélité.</w:t>
      </w:r>
    </w:p>
    <w:p>
      <w:pPr>
        <w:spacing w:after="200"/>
      </w:pPr>
    </w:p>
    <w:p>
      <w:pPr>
        <w:pStyle w:val="Heading2"/>
      </w:pPr>
      <w:r>
        <w:t xml:space="preserve">Phase 5 — Certification &amp; Lancement (Semaines 19–22)</w:t>
      </w:r>
    </w:p>
    <w:p>
      <w:pPr>
        <w:spacing w:after="160"/>
      </w:pPr>
      <w:r>
        <w:rPr>
          <w:b/>
          <w:bCs/>
        </w:rPr>
        <w:t xml:space="preserve">Objectif : </w:t>
      </w:r>
      <w:r>
        <w:t xml:space="preserve">Conformité, tests, lancement.</w:t>
      </w:r>
    </w:p>
    <w:p>
      <w:pPr>
        <w:pStyle w:val="ListParagraph"/>
        <w:numPr>
          <w:ilvl w:val="0"/>
          <w:numId w:val="2"/>
        </w:numPr>
        <w:spacing w:after="80"/>
      </w:pPr>
      <w:r>
        <w:rPr>
          <w:rFonts w:ascii="Calibri" w:cs="Calibri" w:eastAsia="Calibri" w:hAnsi="Calibri"/>
          <w:sz w:val="22"/>
          <w:szCs w:val="22"/>
        </w:rPr>
        <w:t xml:space="preserve">Certification NF525 ou attestation de conformité éditeur</w:t>
      </w:r>
    </w:p>
    <w:p>
      <w:pPr>
        <w:pStyle w:val="ListParagraph"/>
        <w:numPr>
          <w:ilvl w:val="0"/>
          <w:numId w:val="2"/>
        </w:numPr>
        <w:spacing w:after="80"/>
      </w:pPr>
      <w:r>
        <w:rPr>
          <w:rFonts w:ascii="Calibri" w:cs="Calibri" w:eastAsia="Calibri" w:hAnsi="Calibri"/>
          <w:sz w:val="22"/>
          <w:szCs w:val="22"/>
        </w:rPr>
        <w:t xml:space="preserve">Audit de sécurité (données bancaires, RGPD)</w:t>
      </w:r>
    </w:p>
    <w:p>
      <w:pPr>
        <w:pStyle w:val="ListParagraph"/>
        <w:numPr>
          <w:ilvl w:val="0"/>
          <w:numId w:val="2"/>
        </w:numPr>
        <w:spacing w:after="80"/>
      </w:pPr>
      <w:r>
        <w:rPr>
          <w:rFonts w:ascii="Calibri" w:cs="Calibri" w:eastAsia="Calibri" w:hAnsi="Calibri"/>
          <w:sz w:val="22"/>
          <w:szCs w:val="22"/>
        </w:rPr>
        <w:t xml:space="preserve">Tests de charge et optimisation</w:t>
      </w:r>
    </w:p>
    <w:p>
      <w:pPr>
        <w:pStyle w:val="ListParagraph"/>
        <w:numPr>
          <w:ilvl w:val="0"/>
          <w:numId w:val="2"/>
        </w:numPr>
        <w:spacing w:after="80"/>
      </w:pPr>
      <w:r>
        <w:rPr>
          <w:rFonts w:ascii="Calibri" w:cs="Calibri" w:eastAsia="Calibri" w:hAnsi="Calibri"/>
          <w:sz w:val="22"/>
          <w:szCs w:val="22"/>
        </w:rPr>
        <w:t xml:space="preserve">Documentation utilisateur et vidéos de formation</w:t>
      </w:r>
    </w:p>
    <w:p>
      <w:pPr>
        <w:pStyle w:val="ListParagraph"/>
        <w:numPr>
          <w:ilvl w:val="0"/>
          <w:numId w:val="2"/>
        </w:numPr>
        <w:spacing w:after="80"/>
      </w:pPr>
      <w:r>
        <w:rPr>
          <w:rFonts w:ascii="Calibri" w:cs="Calibri" w:eastAsia="Calibri" w:hAnsi="Calibri"/>
          <w:sz w:val="22"/>
          <w:szCs w:val="22"/>
        </w:rPr>
        <w:t xml:space="preserve">Mise en production avec premier restaurant pilote</w:t>
      </w:r>
    </w:p>
    <w:p>
      <w:pPr>
        <w:pStyle w:val="ListParagraph"/>
        <w:numPr>
          <w:ilvl w:val="0"/>
          <w:numId w:val="2"/>
        </w:numPr>
        <w:spacing w:after="80"/>
      </w:pPr>
      <w:r>
        <w:rPr>
          <w:rFonts w:ascii="Calibri" w:cs="Calibri" w:eastAsia="Calibri" w:hAnsi="Calibri"/>
          <w:sz w:val="22"/>
          <w:szCs w:val="22"/>
        </w:rPr>
        <w:t xml:space="preserve">Système de facturation SaaS (abonnement mensuel par établissement)</w:t>
      </w:r>
    </w:p>
    <w:p>
      <w:pPr>
        <w:spacing w:after="160"/>
      </w:pPr>
      <w:r>
        <w:rPr>
          <w:b/>
          <w:bCs/>
        </w:rPr>
        <w:t xml:space="preserve">Livrable : </w:t>
      </w:r>
      <w:r>
        <w:t xml:space="preserve">SaaS certifié prêt pour déploiement commercial.</w:t>
      </w:r>
    </w:p>
    <w:p>
      <w:pPr>
        <w:spacing w:after="200"/>
      </w:pPr>
    </w:p>
    <w:p>
      <w:pPr>
        <w:sectPr>
          <w:headerReference w:type="default" r:id="rId9"/>
          <w:pgSz w:w="11906" w:h="16838" w:orient="portrait"/>
          <w:pgMar w:top="1440" w:right="1440" w:bottom="1440" w:left="1440" w:header="708" w:footer="708" w:gutter="0"/>
          <w:pgNumType/>
          <w:docGrid w:linePitch="360"/>
        </w:sectPr>
      </w:pPr>
    </w:p>
    <w:p>
      <w:pPr>
        <w:pStyle w:val="Heading1"/>
      </w:pPr>
      <w:r>
        <w:t xml:space="preserve">6. Setup Développement — AntiGravity + Claude Code</w:t>
      </w:r>
    </w:p>
    <w:p>
      <w:pPr>
        <w:pBdr>
          <w:bottom w:val="single" w:color="E8632B" w:sz="8" w:space="4"/>
        </w:pBdr>
        <w:spacing w:after="300"/>
      </w:pPr>
    </w:p>
    <w:p>
      <w:pPr>
        <w:spacing w:after="160"/>
      </w:pPr>
      <w:r>
        <w:t xml:space="preserve">Votre environnement de développement repose sur trois piliers : AntiGravity (IDE), Claude Code (développeur IA), et Obra Superpowers (méthodologie structurée).</w:t>
      </w:r>
    </w:p>
    <w:p>
      <w:pPr>
        <w:spacing w:after="200"/>
      </w:pPr>
    </w:p>
    <w:p>
      <w:pPr>
        <w:pStyle w:val="Heading2"/>
      </w:pPr>
      <w:r>
        <w:t xml:space="preserve">6.1 Architecture de l’Environnement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Outil</w:t>
            </w:r>
          </w:p>
        </w:tc>
        <w:tc>
          <w:tcPr>
            <w:tcW w:type="dxa" w:w="2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Rôle</w:t>
            </w:r>
          </w:p>
        </w:tc>
        <w:tc>
          <w:tcPr>
            <w:tcW w:type="dxa" w:w="4026"/>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Détail</w:t>
            </w:r>
          </w:p>
        </w:tc>
      </w:tr>
      <w:tr>
        <w:tc>
          <w:tcPr>
            <w:tcW w:type="dxa" w:w="2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AntiGravity IDE</w:t>
            </w:r>
          </w:p>
        </w:tc>
        <w:tc>
          <w:tcPr>
            <w:tcW w:type="dxa" w:w="28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Interface de développement</w:t>
            </w:r>
          </w:p>
        </w:tc>
        <w:tc>
          <w:tcPr>
            <w:tcW w:type="dxa" w:w="40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Votre espace de travail principal. Terminal intégré.</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Claude Code</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Développeur IA principal</w:t>
            </w:r>
          </w:p>
        </w:tc>
        <w:tc>
          <w:tcPr>
            <w:tcW w:type="dxa" w:w="4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Tourne dans le terminal d’AntiGravity. Écrit et modifie le code.</w:t>
            </w:r>
          </w:p>
        </w:tc>
      </w:tr>
      <w:tr>
        <w:tc>
          <w:tcPr>
            <w:tcW w:type="dxa" w:w="2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Obra Superpowers</w:t>
            </w:r>
          </w:p>
        </w:tc>
        <w:tc>
          <w:tcPr>
            <w:tcW w:type="dxa" w:w="28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Méthodologie &amp; Skills</w:t>
            </w:r>
          </w:p>
        </w:tc>
        <w:tc>
          <w:tcPr>
            <w:tcW w:type="dxa" w:w="40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Plugin Claude Code : brainstorm, plan, execute, TDD.</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Agent Teams</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Multi-agent parallèle</w:t>
            </w:r>
          </w:p>
        </w:tc>
        <w:tc>
          <w:tcPr>
            <w:tcW w:type="dxa" w:w="4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Plusieurs Claude Code travaillent en équipe (expérimental).</w:t>
            </w:r>
          </w:p>
        </w:tc>
      </w:tr>
      <w:tr>
        <w:tc>
          <w:tcPr>
            <w:tcW w:type="dxa" w:w="22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GitHub</w:t>
            </w:r>
          </w:p>
        </w:tc>
        <w:tc>
          <w:tcPr>
            <w:tcW w:type="dxa" w:w="28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Versioning du code</w:t>
            </w:r>
          </w:p>
        </w:tc>
        <w:tc>
          <w:tcPr>
            <w:tcW w:type="dxa" w:w="40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Chaque agent travaille dans son propre git worktree.</w:t>
            </w:r>
          </w:p>
        </w:tc>
      </w:tr>
    </w:tbl>
    <w:p>
      <w:pPr>
        <w:spacing w:after="200"/>
      </w:pPr>
    </w:p>
    <w:p>
      <w:pPr>
        <w:pStyle w:val="Heading2"/>
      </w:pPr>
      <w:r>
        <w:t xml:space="preserve">6.2 Configuration Initiale (une seule fois)</w:t>
      </w:r>
    </w:p>
    <w:p>
      <w:pPr>
        <w:spacing w:after="160"/>
      </w:pPr>
      <w:r>
        <w:rPr>
          <w:b/>
          <w:bCs/>
        </w:rPr>
        <w:t xml:space="preserve">Étape 1 : </w:t>
      </w:r>
      <w:r>
        <w:t xml:space="preserve">Dans le terminal d’AntiGravity, activez Agent Teams :</w:t>
      </w:r>
    </w:p>
    <w:p>
      <w:pPr>
        <w:shd w:fill="F0F0F0" w:val="clear"/>
        <w:spacing w:after="60"/>
        <w:ind w:left="360"/>
      </w:pPr>
      <w:r>
        <w:rPr>
          <w:rFonts w:ascii="Consolas" w:cs="Consolas" w:eastAsia="Consolas" w:hAnsi="Consolas"/>
          <w:color w:val="333333"/>
          <w:sz w:val="18"/>
          <w:szCs w:val="18"/>
        </w:rPr>
        <w:t xml:space="preserve">export CLAUDE_CODE_EXPERIMENTAL_AGENT_TEAMS=1</w:t>
      </w:r>
    </w:p>
    <w:p>
      <w:pPr>
        <w:spacing w:after="200"/>
      </w:pPr>
    </w:p>
    <w:p>
      <w:pPr>
        <w:spacing w:after="160"/>
      </w:pPr>
      <w:r>
        <w:rPr>
          <w:b/>
          <w:bCs/>
        </w:rPr>
        <w:t xml:space="preserve">Étape 2 : </w:t>
      </w:r>
      <w:r>
        <w:t xml:space="preserve">Vérifiez que Superpowers est installé :</w:t>
      </w:r>
    </w:p>
    <w:p>
      <w:pPr>
        <w:shd w:fill="F0F0F0" w:val="clear"/>
        <w:spacing w:after="60"/>
        <w:ind w:left="360"/>
      </w:pPr>
      <w:r>
        <w:rPr>
          <w:rFonts w:ascii="Consolas" w:cs="Consolas" w:eastAsia="Consolas" w:hAnsi="Consolas"/>
          <w:color w:val="333333"/>
          <w:sz w:val="18"/>
          <w:szCs w:val="18"/>
        </w:rPr>
        <w:t xml:space="preserve">/plugin marketplace add obra/superpowers-marketplace</w:t>
      </w:r>
    </w:p>
    <w:p>
      <w:pPr>
        <w:shd w:fill="F0F0F0" w:val="clear"/>
        <w:spacing w:after="60"/>
        <w:ind w:left="360"/>
      </w:pPr>
      <w:r>
        <w:rPr>
          <w:rFonts w:ascii="Consolas" w:cs="Consolas" w:eastAsia="Consolas" w:hAnsi="Consolas"/>
          <w:color w:val="333333"/>
          <w:sz w:val="18"/>
          <w:szCs w:val="18"/>
        </w:rPr>
        <w:t xml:space="preserve">/plugin install superpowers@superpowers-marketplace</w:t>
      </w:r>
    </w:p>
    <w:p>
      <w:pPr>
        <w:spacing w:after="200"/>
      </w:pPr>
    </w:p>
    <w:p>
      <w:pPr>
        <w:spacing w:after="160"/>
      </w:pPr>
      <w:r>
        <w:rPr>
          <w:b/>
          <w:bCs/>
        </w:rPr>
        <w:t xml:space="preserve">Étape 3 : </w:t>
      </w:r>
      <w:r>
        <w:t xml:space="preserve">Vérifiez les commandes disponibles :</w:t>
      </w:r>
    </w:p>
    <w:p>
      <w:pPr>
        <w:shd w:fill="F0F0F0" w:val="clear"/>
        <w:spacing w:after="60"/>
        <w:ind w:left="360"/>
      </w:pPr>
      <w:r>
        <w:rPr>
          <w:rFonts w:ascii="Consolas" w:cs="Consolas" w:eastAsia="Consolas" w:hAnsi="Consolas"/>
          <w:color w:val="333333"/>
          <w:sz w:val="18"/>
          <w:szCs w:val="18"/>
        </w:rPr>
        <w:t xml:space="preserve">/help</w:t>
      </w:r>
    </w:p>
    <w:p>
      <w:pPr>
        <w:spacing w:after="160"/>
      </w:pPr>
      <w:r>
        <w:t xml:space="preserve">Vous devriez voir : /superpowers:brainstorm, /superpowers:write-plan, /superpowers:execute-plan</w:t>
      </w:r>
    </w:p>
    <w:p>
      <w:pPr>
        <w:spacing w:after="200"/>
      </w:pPr>
    </w:p>
    <w:p>
      <w:pPr>
        <w:pStyle w:val="Heading2"/>
      </w:pPr>
      <w:r>
        <w:t xml:space="preserve">6.3 Workflow Quotidien avec Superpowers</w:t>
      </w:r>
    </w:p>
    <w:p>
      <w:pPr>
        <w:spacing w:after="160"/>
      </w:pPr>
      <w:r>
        <w:t xml:space="preserve">Pour chaque nouvelle fonctionnalité, suivez ce cycle en 3 étapes :</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c>
          <w:tcPr>
            <w:tcW w:type="dxa" w:w="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2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Commande</w:t>
            </w:r>
          </w:p>
        </w:tc>
        <w:tc>
          <w:tcPr>
            <w:tcW w:type="dxa" w:w="6026"/>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Ce que ça fait</w:t>
            </w:r>
          </w:p>
        </w:tc>
      </w:tr>
      <w:tr>
        <w:tc>
          <w:tcPr>
            <w:tcW w:type="dxa" w:w="6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1</w:t>
            </w:r>
          </w:p>
        </w:tc>
        <w:tc>
          <w:tcPr>
            <w:tcW w:type="dxa" w:w="24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/superpowers:brainstorm</w:t>
            </w:r>
          </w:p>
        </w:tc>
        <w:tc>
          <w:tcPr>
            <w:tcW w:type="dxa" w:w="60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Dialogue socratique pour affiner le design avant de coder. Claude pose des questions pour clarifier.</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2</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/superpowers:write-plan</w:t>
            </w:r>
          </w:p>
        </w:tc>
        <w:tc>
          <w:tcPr>
            <w:tcW w:type="dxa" w:w="6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Découpe en micro-tâches de 2–5 minutes. Plan structuré et ordonné.</w:t>
            </w:r>
          </w:p>
        </w:tc>
      </w:tr>
      <w:tr>
        <w:tc>
          <w:tcPr>
            <w:tcW w:type="dxa" w:w="6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3</w:t>
            </w:r>
          </w:p>
        </w:tc>
        <w:tc>
          <w:tcPr>
            <w:tcW w:type="dxa" w:w="24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/superpowers:execute-plan</w:t>
            </w:r>
          </w:p>
        </w:tc>
        <w:tc>
          <w:tcPr>
            <w:tcW w:type="dxa" w:w="60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Exécute les tâches par batch. Utilise le TDD (tests d’abord, code ensuite).</w:t>
            </w:r>
          </w:p>
        </w:tc>
      </w:tr>
    </w:tbl>
    <w:p>
      <w:pPr>
        <w:spacing w:after="200"/>
      </w:pPr>
    </w:p>
    <w:p>
      <w:pPr>
        <w:pStyle w:val="Heading2"/>
      </w:pPr>
      <w:r>
        <w:t xml:space="preserve">6.4 Utilisation des Agent Teams</w:t>
      </w:r>
    </w:p>
    <w:p>
      <w:pPr>
        <w:spacing w:after="160"/>
      </w:pPr>
      <w:r>
        <w:t xml:space="preserve">Agent Teams permet d’avoir plusieurs agents Claude Code travaillant en parallèle, chacun dans son contexte isolé. Un agent « leader » orchestre le travail.</w:t>
      </w:r>
    </w:p>
    <w:p>
      <w:pPr>
        <w:spacing w:after="200"/>
      </w:pPr>
    </w:p>
    <w:p>
      <w:pPr>
        <w:spacing w:after="160"/>
      </w:pPr>
      <w:r>
        <w:rPr>
          <w:b/>
          <w:bCs/>
        </w:rPr>
        <w:t xml:space="preserve">Quand utiliser Agent Teams (recommandé) :</w:t>
      </w:r>
    </w:p>
    <w:p>
      <w:pPr>
        <w:pStyle w:val="ListParagraph"/>
        <w:numPr>
          <w:ilvl w:val="0"/>
          <w:numId w:val="2"/>
        </w:numPr>
        <w:spacing w:after="80"/>
      </w:pPr>
      <w:r>
        <w:rPr>
          <w:rFonts w:ascii="Calibri" w:cs="Calibri" w:eastAsia="Calibri" w:hAnsi="Calibri"/>
          <w:sz w:val="22"/>
          <w:szCs w:val="22"/>
        </w:rPr>
        <w:t xml:space="preserve">Développement de modules indépendants en parallèle (frontend + backend + tests)</w:t>
      </w:r>
    </w:p>
    <w:p>
      <w:pPr>
        <w:pStyle w:val="ListParagraph"/>
        <w:numPr>
          <w:ilvl w:val="0"/>
          <w:numId w:val="2"/>
        </w:numPr>
        <w:spacing w:after="80"/>
      </w:pPr>
      <w:r>
        <w:rPr>
          <w:rFonts w:ascii="Calibri" w:cs="Calibri" w:eastAsia="Calibri" w:hAnsi="Calibri"/>
          <w:sz w:val="22"/>
          <w:szCs w:val="22"/>
        </w:rPr>
        <w:t xml:space="preserve">Débogage avec hypothèses concurrentes</w:t>
      </w:r>
    </w:p>
    <w:p>
      <w:pPr>
        <w:pStyle w:val="ListParagraph"/>
        <w:numPr>
          <w:ilvl w:val="0"/>
          <w:numId w:val="2"/>
        </w:numPr>
        <w:spacing w:after="80"/>
      </w:pPr>
      <w:r>
        <w:rPr>
          <w:rFonts w:ascii="Calibri" w:cs="Calibri" w:eastAsia="Calibri" w:hAnsi="Calibri"/>
          <w:sz w:val="22"/>
          <w:szCs w:val="22"/>
        </w:rPr>
        <w:t xml:space="preserve">Révision de code multi-perspectives (sécurité, performance, UX)</w:t>
      </w:r>
    </w:p>
    <w:p>
      <w:pPr>
        <w:spacing w:after="200"/>
      </w:pPr>
    </w:p>
    <w:p>
      <w:pPr>
        <w:spacing w:after="160"/>
      </w:pPr>
      <w:r>
        <w:rPr>
          <w:b/>
          <w:bCs/>
        </w:rPr>
        <w:t xml:space="preserve">Quand NE PAS utiliser Agent Teams :</w:t>
      </w:r>
    </w:p>
    <w:p>
      <w:pPr>
        <w:pStyle w:val="ListParagraph"/>
        <w:numPr>
          <w:ilvl w:val="0"/>
          <w:numId w:val="2"/>
        </w:numPr>
        <w:spacing w:after="80"/>
      </w:pPr>
      <w:r>
        <w:rPr>
          <w:rFonts w:ascii="Calibri" w:cs="Calibri" w:eastAsia="Calibri" w:hAnsi="Calibri"/>
          <w:sz w:val="22"/>
          <w:szCs w:val="22"/>
        </w:rPr>
        <w:t xml:space="preserve">Tâches séquentielles où chaque étape dépend de la précédente</w:t>
      </w:r>
    </w:p>
    <w:p>
      <w:pPr>
        <w:pStyle w:val="ListParagraph"/>
        <w:numPr>
          <w:ilvl w:val="0"/>
          <w:numId w:val="2"/>
        </w:numPr>
        <w:spacing w:after="80"/>
      </w:pPr>
      <w:r>
        <w:rPr>
          <w:rFonts w:ascii="Calibri" w:cs="Calibri" w:eastAsia="Calibri" w:hAnsi="Calibri"/>
          <w:sz w:val="22"/>
          <w:szCs w:val="22"/>
        </w:rPr>
        <w:t xml:space="preserve">Éditions sur le même fichier (risque de conflit)</w:t>
      </w:r>
    </w:p>
    <w:p>
      <w:pPr>
        <w:pStyle w:val="ListParagraph"/>
        <w:numPr>
          <w:ilvl w:val="0"/>
          <w:numId w:val="2"/>
        </w:numPr>
        <w:spacing w:after="80"/>
      </w:pPr>
      <w:r>
        <w:rPr>
          <w:rFonts w:ascii="Calibri" w:cs="Calibri" w:eastAsia="Calibri" w:hAnsi="Calibri"/>
          <w:sz w:val="22"/>
          <w:szCs w:val="22"/>
        </w:rPr>
        <w:t xml:space="preserve">Tâches simples qu’un seul agent gère bien</w:t>
      </w:r>
    </w:p>
    <w:p>
      <w:pPr>
        <w:spacing w:after="200"/>
      </w:pPr>
    </w:p>
    <w:p>
      <w:pPr>
        <w:spacing w:after="160"/>
      </w:pPr>
      <w:r>
        <w:rPr>
          <w:b/>
          <w:bCs/>
        </w:rPr>
        <w:t xml:space="preserve">Répartition recommandée des agents pour Alloflow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Agent</w:t>
            </w:r>
          </w:p>
        </w:tc>
        <w:tc>
          <w:tcPr>
            <w:tcW w:type="dxa" w:w="25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Spécialité</w:t>
            </w:r>
          </w:p>
        </w:tc>
        <w:tc>
          <w:tcPr>
            <w:tcW w:type="dxa" w:w="4526"/>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Tâches</w:t>
            </w:r>
          </w:p>
        </w:tc>
      </w:tr>
      <w:tr>
        <w:tc>
          <w:tcPr>
            <w:tcW w:type="dxa" w:w="20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Leader</w:t>
            </w:r>
          </w:p>
        </w:tc>
        <w:tc>
          <w:tcPr>
            <w:tcW w:type="dxa" w:w="25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Orchestration</w:t>
            </w:r>
          </w:p>
        </w:tc>
        <w:tc>
          <w:tcPr>
            <w:tcW w:type="dxa" w:w="45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Découpe le travail, assigne, synthétise. Utilise Superpowers.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Frontend</w:t>
            </w:r>
          </w:p>
        </w:tc>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UI / UX / React</w:t>
            </w:r>
          </w:p>
        </w:tc>
        <w:tc>
          <w:tcPr>
            <w:tcW w:type="dxa" w:w="45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Interface caisse, dashboard, composants, responsive, PWA.</w:t>
            </w:r>
          </w:p>
        </w:tc>
      </w:tr>
      <w:tr>
        <w:tc>
          <w:tcPr>
            <w:tcW w:type="dxa" w:w="20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Backend</w:t>
            </w:r>
          </w:p>
        </w:tc>
        <w:tc>
          <w:tcPr>
            <w:tcW w:type="dxa" w:w="25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API / Supabase</w:t>
            </w:r>
          </w:p>
        </w:tc>
        <w:tc>
          <w:tcPr>
            <w:tcW w:type="dxa" w:w="45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Routes API, migrations SQL, logique métier, Concert V3.</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QA / Sécurité</w:t>
            </w:r>
          </w:p>
        </w:tc>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Tests / Conformité</w:t>
            </w:r>
          </w:p>
        </w:tc>
        <w:tc>
          <w:tcPr>
            <w:tcW w:type="dxa" w:w="45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Tests unitaires, intégration, NF525, RGPD, audit.</w:t>
            </w:r>
          </w:p>
        </w:tc>
      </w:tr>
    </w:tbl>
    <w:p>
      <w:pPr>
        <w:spacing w:after="200"/>
      </w:pPr>
    </w:p>
    <w:p>
      <w:pPr>
        <w:pStyle w:val="Heading2"/>
      </w:pPr>
      <w:r>
        <w:t xml:space="preserve">6.5 Prompt de Démarrage (Phase 1)</w:t>
      </w:r>
    </w:p>
    <w:p>
      <w:pPr>
        <w:spacing w:after="160"/>
      </w:pPr>
      <w:r>
        <w:rPr>
          <w:b/>
          <w:bCs/>
        </w:rPr>
        <w:t xml:space="preserve">Copiez ce prompt dans le terminal Claude Code d’AntiGravity pour lancer le projet :</w:t>
      </w:r>
    </w:p>
    <w:p>
      <w:pPr>
        <w:spacing w:after="200"/>
      </w:pPr>
    </w:p>
    <w:p>
      <w:pPr>
        <w:shd w:fill="F0F0F0" w:val="clear"/>
        <w:spacing w:after="60"/>
        <w:ind w:left="360"/>
      </w:pPr>
      <w:r>
        <w:rPr>
          <w:rFonts w:ascii="Consolas" w:cs="Consolas" w:eastAsia="Consolas" w:hAnsi="Consolas"/>
          <w:color w:val="333333"/>
          <w:sz w:val="18"/>
          <w:szCs w:val="18"/>
        </w:rPr>
        <w:t xml:space="preserve">J’ai le plugin Superpowers installé. Je veux développer Alloflow, un logiciel</w:t>
      </w:r>
    </w:p>
    <w:p>
      <w:pPr>
        <w:shd w:fill="F0F0F0" w:val="clear"/>
        <w:spacing w:after="60"/>
        <w:ind w:left="360"/>
      </w:pPr>
      <w:r>
        <w:rPr>
          <w:rFonts w:ascii="Consolas" w:cs="Consolas" w:eastAsia="Consolas" w:hAnsi="Consolas"/>
          <w:color w:val="333333"/>
          <w:sz w:val="18"/>
          <w:szCs w:val="18"/>
        </w:rPr>
        <w:t xml:space="preserve">de caisse SaaS pour la restauration avec Next.js 14, TypeScript, Tailwind CSS</w:t>
      </w:r>
    </w:p>
    <w:p>
      <w:pPr>
        <w:shd w:fill="F0F0F0" w:val="clear"/>
        <w:spacing w:after="60"/>
        <w:ind w:left="360"/>
      </w:pPr>
      <w:r>
        <w:rPr>
          <w:rFonts w:ascii="Consolas" w:cs="Consolas" w:eastAsia="Consolas" w:hAnsi="Consolas"/>
          <w:color w:val="333333"/>
          <w:sz w:val="18"/>
          <w:szCs w:val="18"/>
        </w:rPr>
        <w:t xml:space="preserve">et Supabase. Lance /superpowers:brainstorm pour affiner l’architecture.</w:t>
      </w:r>
    </w:p>
    <w:p>
      <w:pPr>
        <w:shd w:fill="F0F0F0" w:val="clear"/>
        <w:spacing w:after="60"/>
        <w:ind w:left="360"/>
      </w:pPr>
      <w:r>
        <w:rPr>
          <w:rFonts w:ascii="Consolas" w:cs="Consolas" w:eastAsia="Consolas" w:hAnsi="Consolas"/>
          <w:color w:val="333333"/>
          <w:sz w:val="18"/>
          <w:szCs w:val="18"/>
        </w:rPr>
        <w:t xml:space="preserve"/>
      </w:r>
    </w:p>
    <w:p>
      <w:pPr>
        <w:shd w:fill="F0F0F0" w:val="clear"/>
        <w:spacing w:after="60"/>
        <w:ind w:left="360"/>
      </w:pPr>
      <w:r>
        <w:rPr>
          <w:rFonts w:ascii="Consolas" w:cs="Consolas" w:eastAsia="Consolas" w:hAnsi="Consolas"/>
          <w:color w:val="333333"/>
          <w:sz w:val="18"/>
          <w:szCs w:val="18"/>
        </w:rPr>
        <w:t xml:space="preserve">Les modules prioritaires sont :</w:t>
      </w:r>
    </w:p>
    <w:p>
      <w:pPr>
        <w:shd w:fill="F0F0F0" w:val="clear"/>
        <w:spacing w:after="60"/>
        <w:ind w:left="360"/>
      </w:pPr>
      <w:r>
        <w:rPr>
          <w:rFonts w:ascii="Consolas" w:cs="Consolas" w:eastAsia="Consolas" w:hAnsi="Consolas"/>
          <w:color w:val="333333"/>
          <w:sz w:val="18"/>
          <w:szCs w:val="18"/>
        </w:rPr>
        <w:t xml:space="preserve">- Caisse tactile avec connexion TPE Ingenico (protocole Caisse Concert V3)</w:t>
      </w:r>
    </w:p>
    <w:p>
      <w:pPr>
        <w:shd w:fill="F0F0F0" w:val="clear"/>
        <w:spacing w:after="60"/>
        <w:ind w:left="360"/>
      </w:pPr>
      <w:r>
        <w:rPr>
          <w:rFonts w:ascii="Consolas" w:cs="Consolas" w:eastAsia="Consolas" w:hAnsi="Consolas"/>
          <w:color w:val="333333"/>
          <w:sz w:val="18"/>
          <w:szCs w:val="18"/>
        </w:rPr>
        <w:t xml:space="preserve">- Gestion des stocks avec décrémentation auto</w:t>
      </w:r>
    </w:p>
    <w:p>
      <w:pPr>
        <w:shd w:fill="F0F0F0" w:val="clear"/>
        <w:spacing w:after="60"/>
        <w:ind w:left="360"/>
      </w:pPr>
      <w:r>
        <w:rPr>
          <w:rFonts w:ascii="Consolas" w:cs="Consolas" w:eastAsia="Consolas" w:hAnsi="Consolas"/>
          <w:color w:val="333333"/>
          <w:sz w:val="18"/>
          <w:szCs w:val="18"/>
        </w:rPr>
        <w:t xml:space="preserve">- Multi-établissements franchise</w:t>
      </w:r>
    </w:p>
    <w:p>
      <w:pPr>
        <w:shd w:fill="F0F0F0" w:val="clear"/>
        <w:spacing w:after="60"/>
        <w:ind w:left="360"/>
      </w:pPr>
      <w:r>
        <w:rPr>
          <w:rFonts w:ascii="Consolas" w:cs="Consolas" w:eastAsia="Consolas" w:hAnsi="Consolas"/>
          <w:color w:val="333333"/>
          <w:sz w:val="18"/>
          <w:szCs w:val="18"/>
        </w:rPr>
        <w:t xml:space="preserve">- Dashboard analytics</w:t>
      </w:r>
    </w:p>
    <w:p>
      <w:pPr>
        <w:shd w:fill="F0F0F0" w:val="clear"/>
        <w:spacing w:after="60"/>
        <w:ind w:left="360"/>
      </w:pPr>
      <w:r>
        <w:rPr>
          <w:rFonts w:ascii="Consolas" w:cs="Consolas" w:eastAsia="Consolas" w:hAnsi="Consolas"/>
          <w:color w:val="333333"/>
          <w:sz w:val="18"/>
          <w:szCs w:val="18"/>
        </w:rPr>
        <w:t xml:space="preserve">- Module SOP/recettes</w:t>
      </w:r>
    </w:p>
    <w:p>
      <w:pPr>
        <w:shd w:fill="F0F0F0" w:val="clear"/>
        <w:spacing w:after="60"/>
        <w:ind w:left="360"/>
      </w:pPr>
      <w:r>
        <w:rPr>
          <w:rFonts w:ascii="Consolas" w:cs="Consolas" w:eastAsia="Consolas" w:hAnsi="Consolas"/>
          <w:color w:val="333333"/>
          <w:sz w:val="18"/>
          <w:szCs w:val="18"/>
        </w:rPr>
        <w:t xml:space="preserve">- CRM fidélité client (tables Customer, LoyaltyReward, LoyaltyTransaction</w:t>
      </w:r>
    </w:p>
    <w:p>
      <w:pPr>
        <w:shd w:fill="F0F0F0" w:val="clear"/>
        <w:spacing w:after="60"/>
        <w:ind w:left="360"/>
      </w:pPr>
      <w:r>
        <w:rPr>
          <w:rFonts w:ascii="Consolas" w:cs="Consolas" w:eastAsia="Consolas" w:hAnsi="Consolas"/>
          <w:color w:val="333333"/>
          <w:sz w:val="18"/>
          <w:szCs w:val="18"/>
        </w:rPr>
        <w:t xml:space="preserve">  à créer dès le départ, interface développée plus tard)</w:t>
      </w:r>
    </w:p>
    <w:p>
      <w:pPr>
        <w:shd w:fill="F0F0F0" w:val="clear"/>
        <w:spacing w:after="60"/>
        <w:ind w:left="360"/>
      </w:pPr>
      <w:r>
        <w:rPr>
          <w:rFonts w:ascii="Consolas" w:cs="Consolas" w:eastAsia="Consolas" w:hAnsi="Consolas"/>
          <w:color w:val="333333"/>
          <w:sz w:val="18"/>
          <w:szCs w:val="18"/>
        </w:rPr>
        <w:t xml:space="preserve"/>
      </w:r>
    </w:p>
    <w:p>
      <w:pPr>
        <w:shd w:fill="F0F0F0" w:val="clear"/>
        <w:spacing w:after="60"/>
        <w:ind w:left="360"/>
      </w:pPr>
      <w:r>
        <w:rPr>
          <w:rFonts w:ascii="Consolas" w:cs="Consolas" w:eastAsia="Consolas" w:hAnsi="Consolas"/>
          <w:color w:val="333333"/>
          <w:sz w:val="18"/>
          <w:szCs w:val="18"/>
        </w:rPr>
        <w:t xml:space="preserve">Pour la Phase 1, concentre-toi sur : setup du projet, modèle de données</w:t>
      </w:r>
    </w:p>
    <w:p>
      <w:pPr>
        <w:shd w:fill="F0F0F0" w:val="clear"/>
        <w:spacing w:after="60"/>
        <w:ind w:left="360"/>
      </w:pPr>
      <w:r>
        <w:rPr>
          <w:rFonts w:ascii="Consolas" w:cs="Consolas" w:eastAsia="Consolas" w:hAnsi="Consolas"/>
          <w:color w:val="333333"/>
          <w:sz w:val="18"/>
          <w:szCs w:val="18"/>
        </w:rPr>
        <w:t xml:space="preserve">complet (incluant les tables CRM vides), authentification avec rôles,</w:t>
      </w:r>
    </w:p>
    <w:p>
      <w:pPr>
        <w:shd w:fill="F0F0F0" w:val="clear"/>
        <w:spacing w:after="60"/>
        <w:ind w:left="360"/>
      </w:pPr>
      <w:r>
        <w:rPr>
          <w:rFonts w:ascii="Consolas" w:cs="Consolas" w:eastAsia="Consolas" w:hAnsi="Consolas"/>
          <w:color w:val="333333"/>
          <w:sz w:val="18"/>
          <w:szCs w:val="18"/>
        </w:rPr>
        <w:t xml:space="preserve">et CRUD produits. Déploiement sur Vercel.</w:t>
      </w:r>
    </w:p>
    <w:p>
      <w:pPr>
        <w:spacing w:after="200"/>
      </w:pPr>
    </w:p>
    <w:p>
      <w:pPr>
        <w:pStyle w:val="Heading2"/>
      </w:pPr>
      <w:r>
        <w:t xml:space="preserve">6.6 Structure de Fichiers Cible</w:t>
      </w:r>
    </w:p>
    <w:p>
      <w:pPr>
        <w:shd w:fill="F0F0F0" w:val="clear"/>
        <w:spacing w:after="60"/>
        <w:ind w:left="360"/>
      </w:pPr>
      <w:r>
        <w:rPr>
          <w:rFonts w:ascii="Consolas" w:cs="Consolas" w:eastAsia="Consolas" w:hAnsi="Consolas"/>
          <w:color w:val="333333"/>
          <w:sz w:val="18"/>
          <w:szCs w:val="18"/>
        </w:rPr>
        <w:t xml:space="preserve">alloflow/</w:t>
      </w:r>
    </w:p>
    <w:p>
      <w:pPr>
        <w:shd w:fill="F0F0F0" w:val="clear"/>
        <w:spacing w:after="60"/>
        <w:ind w:left="360"/>
      </w:pPr>
      <w:r>
        <w:rPr>
          <w:rFonts w:ascii="Consolas" w:cs="Consolas" w:eastAsia="Consolas" w:hAnsi="Consolas"/>
          <w:color w:val="333333"/>
          <w:sz w:val="18"/>
          <w:szCs w:val="18"/>
        </w:rPr>
        <w:t xml:space="preserve">  ├─ app/                    → Pages et routes (Next.js App Router)</w:t>
      </w:r>
    </w:p>
    <w:p>
      <w:pPr>
        <w:shd w:fill="F0F0F0" w:val="clear"/>
        <w:spacing w:after="60"/>
        <w:ind w:left="360"/>
      </w:pPr>
      <w:r>
        <w:rPr>
          <w:rFonts w:ascii="Consolas" w:cs="Consolas" w:eastAsia="Consolas" w:hAnsi="Consolas"/>
          <w:color w:val="333333"/>
          <w:sz w:val="18"/>
          <w:szCs w:val="18"/>
        </w:rPr>
        <w:t xml:space="preserve">  │   ├─ (auth)/             → Login, Register</w:t>
      </w:r>
    </w:p>
    <w:p>
      <w:pPr>
        <w:shd w:fill="F0F0F0" w:val="clear"/>
        <w:spacing w:after="60"/>
        <w:ind w:left="360"/>
      </w:pPr>
      <w:r>
        <w:rPr>
          <w:rFonts w:ascii="Consolas" w:cs="Consolas" w:eastAsia="Consolas" w:hAnsi="Consolas"/>
          <w:color w:val="333333"/>
          <w:sz w:val="18"/>
          <w:szCs w:val="18"/>
        </w:rPr>
        <w:t xml:space="preserve">  │   ├─ (dashboard)/        → Tableau de bord + Analytics</w:t>
      </w:r>
    </w:p>
    <w:p>
      <w:pPr>
        <w:shd w:fill="F0F0F0" w:val="clear"/>
        <w:spacing w:after="60"/>
        <w:ind w:left="360"/>
      </w:pPr>
      <w:r>
        <w:rPr>
          <w:rFonts w:ascii="Consolas" w:cs="Consolas" w:eastAsia="Consolas" w:hAnsi="Consolas"/>
          <w:color w:val="333333"/>
          <w:sz w:val="18"/>
          <w:szCs w:val="18"/>
        </w:rPr>
        <w:t xml:space="preserve">  │   ├─ (pos)/              → Interface caisse</w:t>
      </w:r>
    </w:p>
    <w:p>
      <w:pPr>
        <w:shd w:fill="F0F0F0" w:val="clear"/>
        <w:spacing w:after="60"/>
        <w:ind w:left="360"/>
      </w:pPr>
      <w:r>
        <w:rPr>
          <w:rFonts w:ascii="Consolas" w:cs="Consolas" w:eastAsia="Consolas" w:hAnsi="Consolas"/>
          <w:color w:val="333333"/>
          <w:sz w:val="18"/>
          <w:szCs w:val="18"/>
        </w:rPr>
        <w:t xml:space="preserve">  │   ├─ (stocks)/           → Gestion stocks</w:t>
      </w:r>
    </w:p>
    <w:p>
      <w:pPr>
        <w:shd w:fill="F0F0F0" w:val="clear"/>
        <w:spacing w:after="60"/>
        <w:ind w:left="360"/>
      </w:pPr>
      <w:r>
        <w:rPr>
          <w:rFonts w:ascii="Consolas" w:cs="Consolas" w:eastAsia="Consolas" w:hAnsi="Consolas"/>
          <w:color w:val="333333"/>
          <w:sz w:val="18"/>
          <w:szCs w:val="18"/>
        </w:rPr>
        <w:t xml:space="preserve">  │   ├─ (sop)/              → SOP &amp; Recettes</w:t>
      </w:r>
    </w:p>
    <w:p>
      <w:pPr>
        <w:shd w:fill="F0F0F0" w:val="clear"/>
        <w:spacing w:after="60"/>
        <w:ind w:left="360"/>
      </w:pPr>
      <w:r>
        <w:rPr>
          <w:rFonts w:ascii="Consolas" w:cs="Consolas" w:eastAsia="Consolas" w:hAnsi="Consolas"/>
          <w:color w:val="333333"/>
          <w:sz w:val="18"/>
          <w:szCs w:val="18"/>
        </w:rPr>
        <w:t xml:space="preserve">  │   ├─ (crm)/              → CRM Fidélité (Phase 4)</w:t>
      </w:r>
    </w:p>
    <w:p>
      <w:pPr>
        <w:shd w:fill="F0F0F0" w:val="clear"/>
        <w:spacing w:after="60"/>
        <w:ind w:left="360"/>
      </w:pPr>
      <w:r>
        <w:rPr>
          <w:rFonts w:ascii="Consolas" w:cs="Consolas" w:eastAsia="Consolas" w:hAnsi="Consolas"/>
          <w:color w:val="333333"/>
          <w:sz w:val="18"/>
          <w:szCs w:val="18"/>
        </w:rPr>
        <w:t xml:space="preserve">  │   └─ api/                → Routes API backend</w:t>
      </w:r>
    </w:p>
    <w:p>
      <w:pPr>
        <w:shd w:fill="F0F0F0" w:val="clear"/>
        <w:spacing w:after="60"/>
        <w:ind w:left="360"/>
      </w:pPr>
      <w:r>
        <w:rPr>
          <w:rFonts w:ascii="Consolas" w:cs="Consolas" w:eastAsia="Consolas" w:hAnsi="Consolas"/>
          <w:color w:val="333333"/>
          <w:sz w:val="18"/>
          <w:szCs w:val="18"/>
        </w:rPr>
        <w:t xml:space="preserve">  ├─ components/              → Composants réutilisables</w:t>
      </w:r>
    </w:p>
    <w:p>
      <w:pPr>
        <w:shd w:fill="F0F0F0" w:val="clear"/>
        <w:spacing w:after="60"/>
        <w:ind w:left="360"/>
      </w:pPr>
      <w:r>
        <w:rPr>
          <w:rFonts w:ascii="Consolas" w:cs="Consolas" w:eastAsia="Consolas" w:hAnsi="Consolas"/>
          <w:color w:val="333333"/>
          <w:sz w:val="18"/>
          <w:szCs w:val="18"/>
        </w:rPr>
        <w:t xml:space="preserve">  ├─ lib/                     → Utilitaires, Supabase client, types</w:t>
      </w:r>
    </w:p>
    <w:p>
      <w:pPr>
        <w:shd w:fill="F0F0F0" w:val="clear"/>
        <w:spacing w:after="60"/>
        <w:ind w:left="360"/>
      </w:pPr>
      <w:r>
        <w:rPr>
          <w:rFonts w:ascii="Consolas" w:cs="Consolas" w:eastAsia="Consolas" w:hAnsi="Consolas"/>
          <w:color w:val="333333"/>
          <w:sz w:val="18"/>
          <w:szCs w:val="18"/>
        </w:rPr>
        <w:t xml:space="preserve">  │   └─ concert/            → Driver protocole Concert V3</w:t>
      </w:r>
    </w:p>
    <w:p>
      <w:pPr>
        <w:shd w:fill="F0F0F0" w:val="clear"/>
        <w:spacing w:after="60"/>
        <w:ind w:left="360"/>
      </w:pPr>
      <w:r>
        <w:rPr>
          <w:rFonts w:ascii="Consolas" w:cs="Consolas" w:eastAsia="Consolas" w:hAnsi="Consolas"/>
          <w:color w:val="333333"/>
          <w:sz w:val="18"/>
          <w:szCs w:val="18"/>
        </w:rPr>
        <w:t xml:space="preserve">  ├─ supabase/                → Migrations SQL, seed data</w:t>
      </w:r>
    </w:p>
    <w:p>
      <w:pPr>
        <w:shd w:fill="F0F0F0" w:val="clear"/>
        <w:spacing w:after="60"/>
        <w:ind w:left="360"/>
      </w:pPr>
      <w:r>
        <w:rPr>
          <w:rFonts w:ascii="Consolas" w:cs="Consolas" w:eastAsia="Consolas" w:hAnsi="Consolas"/>
          <w:color w:val="333333"/>
          <w:sz w:val="18"/>
          <w:szCs w:val="18"/>
        </w:rPr>
        <w:t xml:space="preserve">  └─ public/                  → Assets statiques (logo Alloflow...)</w:t>
      </w:r>
    </w:p>
    <w:p>
      <w:pPr>
        <w:spacing w:after="200"/>
      </w:pPr>
    </w:p>
    <w:p>
      <w:pPr>
        <w:sectPr>
          <w:headerReference w:type="default" r:id="rId10"/>
          <w:pgSz w:w="11906" w:h="16838" w:orient="portrait"/>
          <w:pgMar w:top="1440" w:right="1440" w:bottom="1440" w:left="1440" w:header="708" w:footer="708" w:gutter="0"/>
          <w:pgNumType/>
          <w:docGrid w:linePitch="360"/>
        </w:sectPr>
      </w:pPr>
    </w:p>
    <w:p>
      <w:pPr>
        <w:pStyle w:val="Heading1"/>
      </w:pPr>
      <w:r>
        <w:t xml:space="preserve">7. Conformité Légale (France)</w:t>
      </w:r>
    </w:p>
    <w:p>
      <w:pPr>
        <w:pBdr>
          <w:bottom w:val="single" w:color="E8632B" w:sz="8" w:space="4"/>
        </w:pBdr>
        <w:spacing w:after="300"/>
      </w:pPr>
    </w:p>
    <w:p>
      <w:pPr>
        <w:pStyle w:val="Heading2"/>
      </w:pPr>
      <w:r>
        <w:t xml:space="preserve">7.1 Certification NF525</w:t>
      </w:r>
    </w:p>
    <w:p>
      <w:pPr>
        <w:pStyle w:val="ListParagraph"/>
        <w:numPr>
          <w:ilvl w:val="0"/>
          <w:numId w:val="2"/>
        </w:numPr>
        <w:spacing w:after="80"/>
      </w:pPr>
      <w:r>
        <w:rPr>
          <w:b/>
          <w:bCs/>
        </w:rPr>
        <w:t xml:space="preserve">Option A — Certification NF525 : </w:t>
      </w:r>
      <w:r>
        <w:t xml:space="preserve">Audit par un organisme accrédité (LNE, Infocert). Gage de sérieux pour les franchisés. Coût : 2 000–5 000€.</w:t>
      </w:r>
    </w:p>
    <w:p>
      <w:pPr>
        <w:pStyle w:val="ListParagraph"/>
        <w:numPr>
          <w:ilvl w:val="0"/>
          <w:numId w:val="2"/>
        </w:numPr>
        <w:spacing w:after="80"/>
      </w:pPr>
      <w:r>
        <w:rPr>
          <w:b/>
          <w:bCs/>
        </w:rPr>
        <w:t xml:space="preserve">Option B — Attestation éditeur : </w:t>
      </w:r>
      <w:r>
        <w:t xml:space="preserve">Auto-attestation de conformité (gratuite). Suffisante légalement.</w:t>
      </w:r>
    </w:p>
    <w:p>
      <w:pPr>
        <w:spacing w:after="200"/>
      </w:pPr>
    </w:p>
    <w:p>
      <w:pPr>
        <w:pStyle w:val="Heading2"/>
      </w:pPr>
      <w:r>
        <w:t xml:space="preserve">7.2 Exigences Obligatoires</w:t>
      </w:r>
    </w:p>
    <w:p>
      <w:pPr>
        <w:pStyle w:val="ListParagraph"/>
        <w:numPr>
          <w:ilvl w:val="0"/>
          <w:numId w:val="2"/>
        </w:numPr>
        <w:spacing w:after="80"/>
      </w:pPr>
      <w:r>
        <w:rPr>
          <w:rFonts w:ascii="Calibri" w:cs="Calibri" w:eastAsia="Calibri" w:hAnsi="Calibri"/>
          <w:sz w:val="22"/>
          <w:szCs w:val="22"/>
        </w:rPr>
        <w:t xml:space="preserve">Inaltérabilité : données de vente non modifiables/supprimables</w:t>
      </w:r>
    </w:p>
    <w:p>
      <w:pPr>
        <w:pStyle w:val="ListParagraph"/>
        <w:numPr>
          <w:ilvl w:val="0"/>
          <w:numId w:val="2"/>
        </w:numPr>
        <w:spacing w:after="80"/>
      </w:pPr>
      <w:r>
        <w:rPr>
          <w:rFonts w:ascii="Calibri" w:cs="Calibri" w:eastAsia="Calibri" w:hAnsi="Calibri"/>
          <w:sz w:val="22"/>
          <w:szCs w:val="22"/>
        </w:rPr>
        <w:t xml:space="preserve">Sécurisation : chaînage cryptographique (hash SHA-256)</w:t>
      </w:r>
    </w:p>
    <w:p>
      <w:pPr>
        <w:pStyle w:val="ListParagraph"/>
        <w:numPr>
          <w:ilvl w:val="0"/>
          <w:numId w:val="2"/>
        </w:numPr>
        <w:spacing w:after="80"/>
      </w:pPr>
      <w:r>
        <w:rPr>
          <w:rFonts w:ascii="Calibri" w:cs="Calibri" w:eastAsia="Calibri" w:hAnsi="Calibri"/>
          <w:sz w:val="22"/>
          <w:szCs w:val="22"/>
        </w:rPr>
        <w:t xml:space="preserve">Conservation : archivage 6 ans minimum</w:t>
      </w:r>
    </w:p>
    <w:p>
      <w:pPr>
        <w:pStyle w:val="ListParagraph"/>
        <w:numPr>
          <w:ilvl w:val="0"/>
          <w:numId w:val="2"/>
        </w:numPr>
        <w:spacing w:after="80"/>
      </w:pPr>
      <w:r>
        <w:rPr>
          <w:rFonts w:ascii="Calibri" w:cs="Calibri" w:eastAsia="Calibri" w:hAnsi="Calibri"/>
          <w:sz w:val="22"/>
          <w:szCs w:val="22"/>
        </w:rPr>
        <w:t xml:space="preserve">Clôtures périodiques (journalières, mensuelles, annuelles)</w:t>
      </w:r>
    </w:p>
    <w:p>
      <w:pPr>
        <w:pStyle w:val="ListParagraph"/>
        <w:numPr>
          <w:ilvl w:val="0"/>
          <w:numId w:val="2"/>
        </w:numPr>
        <w:spacing w:after="80"/>
      </w:pPr>
      <w:r>
        <w:rPr>
          <w:rFonts w:ascii="Calibri" w:cs="Calibri" w:eastAsia="Calibri" w:hAnsi="Calibri"/>
          <w:sz w:val="22"/>
          <w:szCs w:val="22"/>
        </w:rPr>
        <w:t xml:space="preserve">Traçabilité : journal des événements</w:t>
      </w:r>
    </w:p>
    <w:p>
      <w:pPr>
        <w:spacing w:after="200"/>
      </w:pPr>
    </w:p>
    <w:p>
      <w:pPr>
        <w:pStyle w:val="Heading2"/>
      </w:pPr>
      <w:r>
        <w:t xml:space="preserve">7.3 RGPD (CRM Fidélité)</w:t>
      </w:r>
    </w:p>
    <w:p>
      <w:pPr>
        <w:pStyle w:val="ListParagraph"/>
        <w:numPr>
          <w:ilvl w:val="0"/>
          <w:numId w:val="2"/>
        </w:numPr>
        <w:spacing w:after="80"/>
      </w:pPr>
      <w:r>
        <w:rPr>
          <w:rFonts w:ascii="Calibri" w:cs="Calibri" w:eastAsia="Calibri" w:hAnsi="Calibri"/>
          <w:sz w:val="22"/>
          <w:szCs w:val="22"/>
        </w:rPr>
        <w:t xml:space="preserve">Consentement explicite à l’inscription au programme fidélité</w:t>
      </w:r>
    </w:p>
    <w:p>
      <w:pPr>
        <w:pStyle w:val="ListParagraph"/>
        <w:numPr>
          <w:ilvl w:val="0"/>
          <w:numId w:val="2"/>
        </w:numPr>
        <w:spacing w:after="80"/>
      </w:pPr>
      <w:r>
        <w:rPr>
          <w:rFonts w:ascii="Calibri" w:cs="Calibri" w:eastAsia="Calibri" w:hAnsi="Calibri"/>
          <w:sz w:val="22"/>
          <w:szCs w:val="22"/>
        </w:rPr>
        <w:t xml:space="preserve">Hébergement des données en UE (Supabase région EU)</w:t>
      </w:r>
    </w:p>
    <w:p>
      <w:pPr>
        <w:pStyle w:val="ListParagraph"/>
        <w:numPr>
          <w:ilvl w:val="0"/>
          <w:numId w:val="2"/>
        </w:numPr>
        <w:spacing w:after="80"/>
      </w:pPr>
      <w:r>
        <w:rPr>
          <w:rFonts w:ascii="Calibri" w:cs="Calibri" w:eastAsia="Calibri" w:hAnsi="Calibri"/>
          <w:sz w:val="22"/>
          <w:szCs w:val="22"/>
        </w:rPr>
        <w:t xml:space="preserve">Droit à l’effacement et portabilité des données personnelles</w:t>
      </w:r>
    </w:p>
    <w:p>
      <w:pPr>
        <w:pStyle w:val="ListParagraph"/>
        <w:numPr>
          <w:ilvl w:val="0"/>
          <w:numId w:val="2"/>
        </w:numPr>
        <w:spacing w:after="80"/>
      </w:pPr>
      <w:r>
        <w:rPr>
          <w:rFonts w:ascii="Calibri" w:cs="Calibri" w:eastAsia="Calibri" w:hAnsi="Calibri"/>
          <w:sz w:val="22"/>
          <w:szCs w:val="22"/>
        </w:rPr>
        <w:t xml:space="preserve">Registre des traitements à tenir</w:t>
      </w:r>
    </w:p>
    <w:p>
      <w:pPr>
        <w:pStyle w:val="ListParagraph"/>
        <w:numPr>
          <w:ilvl w:val="0"/>
          <w:numId w:val="2"/>
        </w:numPr>
        <w:spacing w:after="80"/>
      </w:pPr>
      <w:r>
        <w:rPr>
          <w:rFonts w:ascii="Calibri" w:cs="Calibri" w:eastAsia="Calibri" w:hAnsi="Calibri"/>
          <w:sz w:val="22"/>
          <w:szCs w:val="22"/>
        </w:rPr>
        <w:t xml:space="preserve">Durée de conservation des données client définie et communiquée</w:t>
      </w:r>
    </w:p>
    <w:p>
      <w:pPr>
        <w:spacing w:after="200"/>
      </w:pPr>
    </w:p>
    <w:p>
      <w:pPr>
        <w:pStyle w:val="Heading1"/>
      </w:pPr>
      <w:r>
        <w:t xml:space="preserve">8. Estimation des Coûts</w:t>
      </w:r>
    </w:p>
    <w:p>
      <w:pPr>
        <w:pBdr>
          <w:bottom w:val="single" w:color="E8632B" w:sz="8" w:space="4"/>
        </w:pBdr>
        <w:spacing w:after="300"/>
      </w:pPr>
    </w:p>
    <w:p>
      <w:pPr>
        <w:pStyle w:val="Heading2"/>
      </w:pPr>
      <w:r>
        <w:t xml:space="preserve">8.1 Coûts de Développement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Poste</w:t>
            </w:r>
          </w:p>
        </w:tc>
        <w:tc>
          <w:tcPr>
            <w:tcW w:type="dxa" w:w="2763"/>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Coût estimé</w:t>
            </w:r>
          </w:p>
        </w:tc>
        <w:tc>
          <w:tcPr>
            <w:tcW w:type="dxa" w:w="2763"/>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Note</w:t>
            </w:r>
          </w:p>
        </w:tc>
      </w:tr>
      <w:tr>
        <w:tc>
          <w:tcPr>
            <w:tcW w:type="dxa" w:w="35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Claude Max (Agent Teams)</w:t>
            </w:r>
          </w:p>
        </w:tc>
        <w:tc>
          <w:tcPr>
            <w:tcW w:type="dxa" w:w="2763"/>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100–200 €/mois</w:t>
            </w:r>
          </w:p>
        </w:tc>
        <w:tc>
          <w:tcPr>
            <w:tcW w:type="dxa" w:w="2763"/>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Nécessaire pour Agent Teams</w:t>
            </w:r>
          </w:p>
        </w:tc>
      </w:tr>
      <w:t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Supabase (base + auth + storage)</w:t>
            </w:r>
          </w:p>
        </w:tc>
        <w:tc>
          <w:tcPr>
            <w:tcW w:type="dxa" w:w="276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0–25 €/mois</w:t>
            </w:r>
          </w:p>
        </w:tc>
        <w:tc>
          <w:tcPr>
            <w:tcW w:type="dxa" w:w="276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Gratuit au démarrage</w:t>
            </w:r>
          </w:p>
        </w:tc>
      </w:tr>
      <w:tr>
        <w:tc>
          <w:tcPr>
            <w:tcW w:type="dxa" w:w="35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Vercel (hébergement)</w:t>
            </w:r>
          </w:p>
        </w:tc>
        <w:tc>
          <w:tcPr>
            <w:tcW w:type="dxa" w:w="2763"/>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0–20 €/mois</w:t>
            </w:r>
          </w:p>
        </w:tc>
        <w:tc>
          <w:tcPr>
            <w:tcW w:type="dxa" w:w="2763"/>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Gratuit (plan Hobby)</w:t>
            </w:r>
          </w:p>
        </w:tc>
      </w:tr>
      <w:t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Domaine (alloflow.fr)</w:t>
            </w:r>
          </w:p>
        </w:tc>
        <w:tc>
          <w:tcPr>
            <w:tcW w:type="dxa" w:w="276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~10 €/an</w:t>
            </w:r>
          </w:p>
        </w:tc>
        <w:tc>
          <w:tcPr>
            <w:tcW w:type="dxa" w:w="276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OVH / Namecheap</w:t>
            </w:r>
          </w:p>
        </w:tc>
      </w:tr>
      <w:tr>
        <w:tc>
          <w:tcPr>
            <w:tcW w:type="dxa" w:w="35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Certification NF525 (optionnel)</w:t>
            </w:r>
          </w:p>
        </w:tc>
        <w:tc>
          <w:tcPr>
            <w:tcW w:type="dxa" w:w="2763"/>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2 000–5 000 €</w:t>
            </w:r>
          </w:p>
        </w:tc>
        <w:tc>
          <w:tcPr>
            <w:tcW w:type="dxa" w:w="2763"/>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Ponctuel (audit)</w:t>
            </w:r>
          </w:p>
        </w:tc>
      </w:tr>
    </w:tbl>
    <w:p>
      <w:pPr>
        <w:spacing w:after="200"/>
      </w:pPr>
    </w:p>
    <w:p>
      <w:pPr>
        <w:pStyle w:val="Heading2"/>
      </w:pPr>
      <w:r>
        <w:t xml:space="preserve">8.2 Modèle de Revenus SaaS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c>
          <w:tcPr>
            <w:tcW w:type="dxa" w:w="2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Formule</w:t>
            </w:r>
          </w:p>
        </w:tc>
        <w:tc>
          <w:tcPr>
            <w:tcW w:type="dxa" w:w="1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Prix suggéré</w:t>
            </w:r>
          </w:p>
        </w:tc>
        <w:tc>
          <w:tcPr>
            <w:tcW w:type="dxa" w:w="4626"/>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Inclus</w:t>
            </w:r>
          </w:p>
        </w:tc>
      </w:tr>
      <w:tr>
        <w:tc>
          <w:tcPr>
            <w:tcW w:type="dxa" w:w="26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Starter (1 établissement)</w:t>
            </w:r>
          </w:p>
        </w:tc>
        <w:tc>
          <w:tcPr>
            <w:tcW w:type="dxa" w:w="18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49 €/mois</w:t>
            </w:r>
          </w:p>
        </w:tc>
        <w:tc>
          <w:tcPr>
            <w:tcW w:type="dxa" w:w="46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Caisse + stocks + 2 utilisateurs</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Pro (1-3 établissements)</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99 €/mois</w:t>
            </w:r>
          </w:p>
        </w:tc>
        <w:tc>
          <w:tcPr>
            <w:tcW w:type="dxa" w:w="46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alibri" w:cs="Calibri" w:eastAsia="Calibri" w:hAnsi="Calibri"/>
                <w:sz w:val="20"/>
                <w:szCs w:val="20"/>
              </w:rPr>
              <w:t xml:space="preserve">Multi-sites + analytics + SOP + CRM fidélité + 10 users</w:t>
            </w:r>
          </w:p>
        </w:tc>
      </w:tr>
      <w:tr>
        <w:tc>
          <w:tcPr>
            <w:tcW w:type="dxa" w:w="26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Franchise (illimité)</w:t>
            </w:r>
          </w:p>
        </w:tc>
        <w:tc>
          <w:tcPr>
            <w:tcW w:type="dxa" w:w="1800"/>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Sur devis</w:t>
            </w:r>
          </w:p>
        </w:tc>
        <w:tc>
          <w:tcPr>
            <w:tcW w:type="dxa" w:w="4626"/>
            <w:tcBorders>
              <w:top w:val="single" w:color="D0D0D0" w:sz="1"/>
              <w:left w:val="single" w:color="D0D0D0" w:sz="1"/>
              <w:bottom w:val="single" w:color="D0D0D0" w:sz="1"/>
              <w:right w:val="single" w:color="D0D0D0" w:sz="1"/>
            </w:tcBorders>
            <w:shd w:fill="F5F7FA" w:val="clear"/>
            <w:tcMar>
              <w:top w:type="dxa" w:w="80"/>
              <w:left w:type="dxa" w:w="120"/>
              <w:bottom w:type="dxa" w:w="80"/>
              <w:right w:type="dxa" w:w="120"/>
            </w:tcMar>
          </w:tcPr>
          <w:p>
            <w:r>
              <w:rPr>
                <w:rFonts w:ascii="Calibri" w:cs="Calibri" w:eastAsia="Calibri" w:hAnsi="Calibri"/>
                <w:sz w:val="20"/>
                <w:szCs w:val="20"/>
              </w:rPr>
              <w:t xml:space="preserve">Tout inclus + support dédié + personnalisation + CRM avancé</w:t>
            </w:r>
          </w:p>
        </w:tc>
      </w:tr>
    </w:tbl>
    <w:p>
      <w:pPr>
        <w:spacing w:after="200"/>
      </w:pPr>
    </w:p>
    <w:p>
      <w:pPr>
        <w:pStyle w:val="Heading1"/>
      </w:pPr>
      <w:r>
        <w:t xml:space="preserve">9. Prochaines Étapes Immédiates</w:t>
      </w:r>
    </w:p>
    <w:p>
      <w:pPr>
        <w:pBdr>
          <w:bottom w:val="single" w:color="E8632B" w:sz="8" w:space="4"/>
        </w:pBdr>
        <w:spacing w:after="300"/>
      </w:pPr>
    </w:p>
    <w:p>
      <w:pPr>
        <w:pStyle w:val="ListParagraph"/>
        <w:numPr>
          <w:ilvl w:val="0"/>
          <w:numId w:val="2"/>
        </w:numPr>
        <w:spacing w:after="80"/>
      </w:pPr>
      <w:r>
        <w:rPr>
          <w:b/>
          <w:bCs/>
        </w:rPr>
        <w:t xml:space="preserve">Jour 1 : </w:t>
      </w:r>
      <w:r>
        <w:t xml:space="preserve">Ouvrir AntiGravity, vérifier que Claude Code + Superpowers fonctionnent.</w:t>
      </w:r>
    </w:p>
    <w:p>
      <w:pPr>
        <w:pStyle w:val="ListParagraph"/>
        <w:numPr>
          <w:ilvl w:val="0"/>
          <w:numId w:val="2"/>
        </w:numPr>
        <w:spacing w:after="80"/>
      </w:pPr>
      <w:r>
        <w:rPr>
          <w:b/>
          <w:bCs/>
        </w:rPr>
        <w:t xml:space="preserve">Jour 2 : </w:t>
      </w:r>
      <w:r>
        <w:t xml:space="preserve">Lancer le prompt de démarrage Phase 1 (section 6.5 de ce document).</w:t>
      </w:r>
    </w:p>
    <w:p>
      <w:pPr>
        <w:pStyle w:val="ListParagraph"/>
        <w:numPr>
          <w:ilvl w:val="0"/>
          <w:numId w:val="2"/>
        </w:numPr>
        <w:spacing w:after="80"/>
      </w:pPr>
      <w:r>
        <w:rPr>
          <w:b/>
          <w:bCs/>
        </w:rPr>
        <w:t xml:space="preserve">Jour 3 : </w:t>
      </w:r>
      <w:r>
        <w:t xml:space="preserve">Contacter le service monétique du CIC : demander la doc Concert + SDK C3Driver pour vos terminaux.</w:t>
      </w:r>
    </w:p>
    <w:p>
      <w:pPr>
        <w:pStyle w:val="ListParagraph"/>
        <w:numPr>
          <w:ilvl w:val="0"/>
          <w:numId w:val="2"/>
        </w:numPr>
        <w:spacing w:after="80"/>
      </w:pPr>
      <w:r>
        <w:rPr>
          <w:b/>
          <w:bCs/>
        </w:rPr>
        <w:t xml:space="preserve">Jour 4 : </w:t>
      </w:r>
      <w:r>
        <w:t xml:space="preserve">Vérifier le modèle de vos TPE et activer la connexion caisse (F &gt; Telium Manager).</w:t>
      </w:r>
    </w:p>
    <w:p>
      <w:pPr>
        <w:pStyle w:val="ListParagraph"/>
        <w:numPr>
          <w:ilvl w:val="0"/>
          <w:numId w:val="2"/>
        </w:numPr>
        <w:spacing w:after="80"/>
      </w:pPr>
      <w:r>
        <w:rPr>
          <w:b/>
          <w:bCs/>
        </w:rPr>
        <w:t xml:space="preserve">Jour 5-7 : </w:t>
      </w:r>
      <w:r>
        <w:t xml:space="preserve">Avec Claude Code, finaliser la Phase 1 : BDD, auth, CRUD produits, déploiement Vercel.</w:t>
      </w:r>
    </w:p>
    <w:p>
      <w:pPr>
        <w:spacing w:after="200"/>
      </w:pPr>
    </w:p>
    <w:p>
      <w:pPr>
        <w:spacing w:after="160"/>
      </w:pPr>
      <w:r>
        <w:rPr>
          <w:b/>
          <w:bCs/>
        </w:rPr>
        <w:t xml:space="preserve">Ce document est votre bible de référence. </w:t>
      </w:r>
      <w:r>
        <w:t xml:space="preserve">Copiez les sections pertinentes dans Claude Code pour guider le développement phase par phase. Toutes les commandes s’exécutent dans le terminal intégré d’AntiGravity, jamais sur claude.ai. Bonne construction d’Alloflow !</w:t>
      </w:r>
    </w:p>
    <w:sectPr>
      <w:headerReference w:type="default" r:id="rId11"/>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2" w:space="4"/>
      </w:pBdr>
    </w:pPr>
    <w:r>
      <w:rPr>
        <w:rFonts w:ascii="Calibri" w:cs="Calibri" w:eastAsia="Calibri" w:hAnsi="Calibri"/>
        <w:b/>
        <w:bCs/>
        <w:color w:val="1B2A4A"/>
        <w:sz w:val="18"/>
        <w:szCs w:val="18"/>
      </w:rPr>
      <w:t xml:space="preserve">Alloflow</w:t>
    </w:r>
    <w:r>
      <w:rPr>
        <w:rFonts w:ascii="Calibri" w:cs="Calibri" w:eastAsia="Calibri" w:hAnsi="Calibri"/>
        <w:color w:val="999999"/>
        <w:sz w:val="18"/>
        <w:szCs w:val="18"/>
      </w:rPr>
      <w:t xml:space="preserve">  |  Vision &amp; Contexte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2" w:space="4"/>
      </w:pBdr>
    </w:pPr>
    <w:r>
      <w:rPr>
        <w:rFonts w:ascii="Calibri" w:cs="Calibri" w:eastAsia="Calibri" w:hAnsi="Calibri"/>
        <w:b/>
        <w:bCs/>
        <w:color w:val="1B2A4A"/>
        <w:sz w:val="18"/>
        <w:szCs w:val="18"/>
      </w:rPr>
      <w:t xml:space="preserve">Alloflow</w:t>
    </w:r>
    <w:r>
      <w:rPr>
        <w:rFonts w:ascii="Calibri" w:cs="Calibri" w:eastAsia="Calibri" w:hAnsi="Calibri"/>
        <w:color w:val="999999"/>
        <w:sz w:val="18"/>
        <w:szCs w:val="18"/>
      </w:rPr>
      <w:t xml:space="preserve">  |  Connexion TPE CIC</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2" w:space="4"/>
      </w:pBdr>
    </w:pPr>
    <w:r>
      <w:rPr>
        <w:rFonts w:ascii="Calibri" w:cs="Calibri" w:eastAsia="Calibri" w:hAnsi="Calibri"/>
        <w:b/>
        <w:bCs/>
        <w:color w:val="1B2A4A"/>
        <w:sz w:val="18"/>
        <w:szCs w:val="18"/>
      </w:rPr>
      <w:t xml:space="preserve">Alloflow</w:t>
    </w:r>
    <w:r>
      <w:rPr>
        <w:rFonts w:ascii="Calibri" w:cs="Calibri" w:eastAsia="Calibri" w:hAnsi="Calibri"/>
        <w:color w:val="999999"/>
        <w:sz w:val="18"/>
        <w:szCs w:val="18"/>
      </w:rPr>
      <w:t xml:space="preserve">  |  Modules Fonctionnels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2" w:space="4"/>
      </w:pBdr>
    </w:pPr>
    <w:r>
      <w:rPr>
        <w:rFonts w:ascii="Calibri" w:cs="Calibri" w:eastAsia="Calibri" w:hAnsi="Calibri"/>
        <w:b/>
        <w:bCs/>
        <w:color w:val="1B2A4A"/>
        <w:sz w:val="18"/>
        <w:szCs w:val="18"/>
      </w:rPr>
      <w:t xml:space="preserve">Alloflow</w:t>
    </w:r>
    <w:r>
      <w:rPr>
        <w:rFonts w:ascii="Calibri" w:cs="Calibri" w:eastAsia="Calibri" w:hAnsi="Calibri"/>
        <w:color w:val="999999"/>
        <w:sz w:val="18"/>
        <w:szCs w:val="18"/>
      </w:rPr>
      <w:t xml:space="preserve">  |  Roadmap</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2" w:space="4"/>
      </w:pBdr>
    </w:pPr>
    <w:r>
      <w:rPr>
        <w:rFonts w:ascii="Calibri" w:cs="Calibri" w:eastAsia="Calibri" w:hAnsi="Calibri"/>
        <w:b/>
        <w:bCs/>
        <w:color w:val="1B2A4A"/>
        <w:sz w:val="18"/>
        <w:szCs w:val="18"/>
      </w:rPr>
      <w:t xml:space="preserve">Alloflow</w:t>
    </w:r>
    <w:r>
      <w:rPr>
        <w:rFonts w:ascii="Calibri" w:cs="Calibri" w:eastAsia="Calibri" w:hAnsi="Calibri"/>
        <w:color w:val="999999"/>
        <w:sz w:val="18"/>
        <w:szCs w:val="18"/>
      </w:rPr>
      <w:t xml:space="preserve">  |  Setup Développement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2" w:space="4"/>
      </w:pBdr>
    </w:pPr>
    <w:r>
      <w:rPr>
        <w:rFonts w:ascii="Calibri" w:cs="Calibri" w:eastAsia="Calibri" w:hAnsi="Calibri"/>
        <w:b/>
        <w:bCs/>
        <w:color w:val="1B2A4A"/>
        <w:sz w:val="18"/>
        <w:szCs w:val="18"/>
      </w:rPr>
      <w:t xml:space="preserve">Alloflow</w:t>
    </w:r>
    <w:r>
      <w:rPr>
        <w:rFonts w:ascii="Calibri" w:cs="Calibri" w:eastAsia="Calibri" w:hAnsi="Calibri"/>
        <w:color w:val="999999"/>
        <w:sz w:val="18"/>
        <w:szCs w:val="18"/>
      </w:rPr>
      <w:t xml:space="preserve">  |  Conformité &amp; Coûts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2A4A"/>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2D4A7A"/>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E863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2026-03-25T00:59:08.618Z</dcterms:created>
  <dcterms:modified xsi:type="dcterms:W3CDTF">2026-03-25T00:59:08.619Z</dcterms:modified>
</cp:coreProperties>
</file>

<file path=docProps/custom.xml><?xml version="1.0" encoding="utf-8"?>
<Properties xmlns="http://schemas.openxmlformats.org/officeDocument/2006/custom-properties" xmlns:vt="http://schemas.openxmlformats.org/officeDocument/2006/docPropsVTypes"/>
</file>