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1F3864"/>
          <w:sz w:val="44"/>
          <w:szCs w:val="44"/>
        </w:rPr>
        <w:t xml:space="preserve">Common Rules Report</w:t>
      </w:r>
    </w:p>
    <w:p>
      <w:pPr>
        <w:spacing w:after="80"/>
      </w:pPr>
      <w:r>
        <w:rPr>
          <w:rFonts w:ascii="Arial" w:cs="Arial" w:eastAsia="Arial" w:hAnsi="Arial"/>
          <w:b/>
          <w:bCs/>
          <w:sz w:val="26"/>
          <w:szCs w:val="26"/>
        </w:rPr>
        <w:t xml:space="preserve">IVY Bulk Upload Business Rules  vs  SCDO Deal Upload Checks</w:t>
      </w:r>
    </w:p>
    <w:p>
      <w:pPr>
        <w:spacing w:after="160"/>
      </w:pPr>
      <w:r>
        <w:rPr>
          <w:rFonts w:ascii="Arial" w:cs="Arial" w:eastAsia="Arial" w:hAnsi="Arial"/>
          <w:sz w:val="20"/>
          <w:szCs w:val="20"/>
        </w:rPr>
        <w:t xml:space="preserve">This report lists only the functions, rules, logic and working processes that appear in both documents. Every item shows which document it comes from, where in that document it is found, and what that document says. Nothing was added from outside the two documents.</w:t>
      </w:r>
    </w:p>
    <w:p>
      <w:pPr>
        <w:pStyle w:val="Heading1"/>
        <w:spacing w:after="120" w:before="300"/>
      </w:pPr>
      <w:r>
        <w:rPr>
          <w:rFonts w:ascii="Arial" w:cs="Arial" w:eastAsia="Arial" w:hAnsi="Arial"/>
          <w:b/>
          <w:bCs/>
          <w:sz w:val="30"/>
          <w:szCs w:val="30"/>
        </w:rPr>
        <w:t xml:space="preserve">1. The two source documents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4050"/>
        <w:gridCol w:w="405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40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IVY document</w:t>
            </w:r>
          </w:p>
        </w:tc>
        <w:tc>
          <w:tcPr>
            <w:tcW w:type="dxa" w:w="40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SCDO document</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File name</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IVY_Bulk_Upload_Business_Rules_Updated.docx</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SCDO_Deal_Upload_Checks.docx</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Subject</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Business rules the Bulk Upload application applies to each value read from the trustee report and data files.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"SCDO - Upload Excel To Database Manually - Deal upload checks": what each checkbox on the upload screen checks when a deal's Excel file is loaded.</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How it is organised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Numbered sections (§1 to §20), mostly by schema. §16 gives the order of execution, §17 to §19 cover comparison, critical checks and lookup tables.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By checkbox on the upload screen (Main block, Right-hand column, Not on the screen). Each checkbox lists the schema, table, column and failure.</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Screen / code named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Bulk Upload page. Code table lists clsLogicForBulkUpload_For_IVY.cs, BulkUploadByIvy.cs and other files.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Screen frmUploadManuallyDoneExcelToDB. Check logic in clsOutputAscii.cs (Generate_Final_AScii).</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Date of code stated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Line numbers as at 28 August 2026 (branch newlogicfordeutchebank, including uncommitted changes).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Code as of 28 Sep 2026.</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Not covered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Not applicable.</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BDC AND USMF checkbox.</w:t>
            </w:r>
          </w:p>
        </w:tc>
      </w:tr>
    </w:tbl>
    <w:p>
      <w:pPr>
        <w:spacing w:after="60"/>
      </w:pPr>
      <w:r>
        <w:rPr>
          <w:rFonts w:ascii="Arial" w:cs="Arial" w:eastAsia="Arial" w:hAnsi="Arial"/>
          <w:sz w:val="20"/>
          <w:szCs w:val="20"/>
        </w:rPr>
        <w:t xml:space="preserve"/>
      </w:r>
    </w:p>
    <w:p>
      <w:pPr>
        <w:pStyle w:val="Heading1"/>
        <w:spacing w:after="120" w:before="300"/>
      </w:pPr>
      <w:r>
        <w:rPr>
          <w:rFonts w:ascii="Arial" w:cs="Arial" w:eastAsia="Arial" w:hAnsi="Arial"/>
          <w:b/>
          <w:bCs/>
          <w:sz w:val="30"/>
          <w:szCs w:val="30"/>
        </w:rPr>
        <w:t xml:space="preserve">2. How to read this report</w:t>
      </w:r>
    </w:p>
    <w:p>
      <w:pPr>
        <w:spacing w:after="80"/>
      </w:pPr>
      <w:r>
        <w:rPr>
          <w:rFonts w:ascii="Arial" w:cs="Arial" w:eastAsia="Arial" w:hAnsi="Arial"/>
          <w:sz w:val="20"/>
          <w:szCs w:val="20"/>
        </w:rPr>
        <w:t xml:space="preserve">"Where" tells you the exact place to look. For IVY it is a section number (for example §9.5) and heading. For SCDO it is the checkbox name, then the schema tab, the table and the column (for example Others - Collateral (T_Collateral_Process_Live) - spread).</w:t>
      </w:r>
    </w:p>
    <w:p>
      <w:pPr>
        <w:spacing w:after="80"/>
      </w:pPr>
      <w:r>
        <w:rPr>
          <w:rFonts w:ascii="Arial" w:cs="Arial" w:eastAsia="Arial" w:hAnsi="Arial"/>
          <w:sz w:val="20"/>
          <w:szCs w:val="20"/>
        </w:rPr>
        <w:t xml:space="preserve">Colours: blue = from the IVY document, green = from the SCDO document.</w:t>
      </w:r>
    </w:p>
    <w:p>
      <w:pPr>
        <w:spacing w:after="40"/>
      </w:pPr>
      <w:r>
        <w:rPr>
          <w:rFonts w:ascii="Arial" w:cs="Arial" w:eastAsia="Arial" w:hAnsi="Arial"/>
          <w:b/>
          <w:bCs/>
          <w:sz w:val="20"/>
          <w:szCs w:val="20"/>
        </w:rPr>
        <w:t xml:space="preserve">Match labels:</w:t>
      </w:r>
    </w:p>
    <w:p>
      <w:pPr>
        <w:pStyle w:val="ListParagraph"/>
        <w:numPr>
          <w:ilvl w:val="0"/>
          <w:numId w:val="2"/>
        </w:numPr>
        <w:spacing w:after="40"/>
      </w:pPr>
      <w:r>
        <w:rPr>
          <w:rFonts w:ascii="Arial" w:cs="Arial" w:eastAsia="Arial" w:hAnsi="Arial"/>
          <w:b/>
          <w:bCs/>
          <w:sz w:val="20"/>
          <w:szCs w:val="20"/>
        </w:rPr>
        <w:t xml:space="preserve">Same: </w:t>
      </w:r>
      <w:r>
        <w:rPr>
          <w:rFonts w:ascii="Arial" w:cs="Arial" w:eastAsia="Arial" w:hAnsi="Arial"/>
          <w:sz w:val="20"/>
          <w:szCs w:val="20"/>
        </w:rPr>
        <w:t xml:space="preserve">both documents state the same rule.</w:t>
      </w:r>
    </w:p>
    <w:p>
      <w:pPr>
        <w:pStyle w:val="ListParagraph"/>
        <w:numPr>
          <w:ilvl w:val="0"/>
          <w:numId w:val="2"/>
        </w:numPr>
        <w:spacing w:after="40"/>
      </w:pPr>
      <w:r>
        <w:rPr>
          <w:rFonts w:ascii="Arial" w:cs="Arial" w:eastAsia="Arial" w:hAnsi="Arial"/>
          <w:b/>
          <w:bCs/>
          <w:sz w:val="20"/>
          <w:szCs w:val="20"/>
        </w:rPr>
        <w:t xml:space="preserve">Equivalent: </w:t>
      </w:r>
      <w:r>
        <w:rPr>
          <w:rFonts w:ascii="Arial" w:cs="Arial" w:eastAsia="Arial" w:hAnsi="Arial"/>
          <w:sz w:val="20"/>
          <w:szCs w:val="20"/>
        </w:rPr>
        <w:t xml:space="preserve">same rule, but the threshold, the wording or the result (fix, flag or block) is different. The difference is written next to it.</w:t>
      </w:r>
    </w:p>
    <w:p>
      <w:pPr>
        <w:pStyle w:val="ListParagraph"/>
        <w:numPr>
          <w:ilvl w:val="0"/>
          <w:numId w:val="2"/>
        </w:numPr>
        <w:spacing w:after="40"/>
      </w:pPr>
      <w:r>
        <w:rPr>
          <w:rFonts w:ascii="Arial" w:cs="Arial" w:eastAsia="Arial" w:hAnsi="Arial"/>
          <w:b/>
          <w:bCs/>
          <w:sz w:val="20"/>
          <w:szCs w:val="20"/>
        </w:rPr>
        <w:t xml:space="preserve">Partly: </w:t>
      </w:r>
      <w:r>
        <w:rPr>
          <w:rFonts w:ascii="Arial" w:cs="Arial" w:eastAsia="Arial" w:hAnsi="Arial"/>
          <w:sz w:val="20"/>
          <w:szCs w:val="20"/>
        </w:rPr>
        <w:t xml:space="preserve">the two documents overlap only in the part described.</w:t>
      </w:r>
    </w:p>
    <w:p>
      <w:pPr>
        <w:spacing w:after="100"/>
      </w:pPr>
      <w:r>
        <w:rPr>
          <w:rFonts w:ascii="Arial" w:cs="Arial" w:eastAsia="Arial" w:hAnsi="Arial"/>
          <w:sz w:val="20"/>
          <w:szCs w:val="20"/>
        </w:rPr>
        <w:t xml:space="preserve">A common pattern: IVY usually corrects or flags a value, while SCDO usually blocks the upload. Where that is the only difference it is noted in the item.</w:t>
      </w:r>
    </w:p>
    <w:p>
      <w:pPr>
        <w:pStyle w:val="Heading1"/>
        <w:spacing w:after="120" w:before="300"/>
      </w:pPr>
      <w:r>
        <w:rPr>
          <w:rFonts w:ascii="Arial" w:cs="Arial" w:eastAsia="Arial" w:hAnsi="Arial"/>
          <w:b/>
          <w:bCs/>
          <w:sz w:val="30"/>
          <w:szCs w:val="30"/>
        </w:rPr>
        <w:t xml:space="preserve">3. Summary of all common items</w:t>
      </w:r>
    </w:p>
    <w:p>
      <w:pPr>
        <w:spacing w:after="80"/>
      </w:pPr>
      <w:r>
        <w:rPr>
          <w:rFonts w:ascii="Arial" w:cs="Arial" w:eastAsia="Arial" w:hAnsi="Arial"/>
          <w:sz w:val="20"/>
          <w:szCs w:val="20"/>
        </w:rPr>
        <w:t xml:space="preserve">27 common items: 6 shared processes (Part A) and 21 rules by schema (Part B).</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2350"/>
        <w:gridCol w:w="2850"/>
        <w:gridCol w:w="1440"/>
      </w:tblGrid>
      <w:tr>
        <w:trPr>
          <w:tblHeader/>
        </w:trPr>
        <w:tc>
          <w:tcPr>
            <w:tcW w:type="dxa" w:w="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Ref</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Common rule</w:t>
            </w:r>
          </w:p>
        </w:tc>
        <w:tc>
          <w:tcPr>
            <w:tcW w:type="dxa" w:w="23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Where in IVY</w:t>
            </w:r>
          </w:p>
        </w:tc>
        <w:tc>
          <w:tcPr>
            <w:tcW w:type="dxa" w:w="28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Where in SCDO</w:t>
            </w:r>
          </w:p>
        </w:tc>
        <w:tc>
          <w:tcPr>
            <w:tcW w:type="dxa" w:w="14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Match</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Both documents cover the same twelve schemas</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Intro ("How to read this": "twelve schemas") and the rule sections §4 to §12A</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"How a file is checked" - table of schema tabs (Order 01 to 12)</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Last month is read from the live tables, with a fallback</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§17 Previous-month comparison (first paragraph)</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"How a file is checked" - "Processing data / Live data" box. Also MiscAccount, Miscellaneous and Blank Data.</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Previous-month check on each tab and each column</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§17 Previous-month comparison (three findings)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Blank Data checkbox - "Every schema, against last month"</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serious failure stops the deal; other findings do not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§20.1 The four message types (table)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"How a file is checked" - "When a check fails" box, and the checkbox table (Result column)</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Exact error messages are quoted so they can be found in the error report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"How to read this" (last paragraph before §1)</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"When a check fails" box and the source note at the end of the document</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The checks are tied to ASCII generation, which is the last step</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§16 Order of execution (step 14), §18 Critical checks, and the code table "Where these rules live in the code"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Header table ("Check logic") and "When a check fails" box</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price above 150 is flagged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§18 Critical checks written to the Data Missing log (price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"Every schema except Stratification" - Any price column</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run date that was already loaded for the deal is rejected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§9.5 Trustee run date (second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RunDate Check checkbox - AccountBalance (T_Account_Process_Live) - trustee_run_date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Trustee deal name is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§9.6 Deal and manager names (first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AccountBalance (T_Account_Process_Live) - trustee_deal_name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Collateral manager is compared with last period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§9.6 Deal and manager names (third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AccountBalance (T_Account_Process_Live) - trustee_collateral_manager</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Spread and adjusted spread have a maximum value</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§18 Critical checks (first bullet) and §1.10 Numeric range ceiling</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spread, spread_adjusted</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Recovery rates above 100 are not accepted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§4.8 Recovery rates (also §4.15B Recovery rate formats)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sp_recovery_rate, fitch_recovery_rate, applicable_recovery_pct, recovery_pct</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Capitalised interest above zero goes with PIK = Y</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§4.12 PIK (payment in kind)</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capitalized_int, is_pikking</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B8</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Fixed-coupon assets have no index adjustment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§4.5 Fixed-coupon assets (also §4.14)</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coupon_type_desc, index_adjustment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B9</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EUR assets have no index adjustment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§4.14 Spread and index adjustment ("BNY, EUR deals")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currency_desc, index_adjustment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Equity maturity is the trustee run date plus two years</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§4.4 Equity assets (first two bullets)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 "Equity holdings only" - maturity. Also With Maturity Check.</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Equity is recognised by security type</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§4.4 Equity assets (fourth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With Maturity Check checkbox - Collateral - maturity, security_type</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collateral column that is blank throughout is caught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§18 Critical checks (bullet: any collateral column entirely empty)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Critical Field checkbox - Collateral - and Others checkbox - Collateral - next_payment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collateral currency is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§3.3 Currency is mandatory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currency_desc</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The deal currency comes from Collateral and is used on the other tabs</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§3.2 Filling in a missing currency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Currency checkbox - AccountBalance, Collateral, Transactions, PrincipalReduction, Miscellaneous</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Transaction issuer name is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§5.11 Issuer name is mandatory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Transactions (T_TransAction_Process_Live) - issuer_name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Total proceeds equals principal plus interest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§6.5 Total proceeds is the sum</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PrincipalReduction (T_PrincipalActivities_Process_Live) - principal, interest, total_proceeds</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test_current above 10,000 is treated as implausible</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§7.4 Implausible values (second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TestResult checkbox - TestResult (T_Test_Results_Process_Live) - test_current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B18</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blank is_tr_test is caught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§7.3 Trustee test flag - the is_tr_test rule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TestResult - is_tr_test; and TestResult checkbox - is_tr_test</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B19</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big drop in amortization rows compared with last month</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§11.5 Data-volume check and §18 Critical checks (amortisation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With Amort Check checkbox - AmortizationSchedule (T_Amortization_Process_Live) - row count, vendor_id</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B20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Row count is compared with last month</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§10.8 Row-count comparison with last period (also §20.2)</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MiscAccount checkbox and Miscellaneous checkbox - row count</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B21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Account name and misc name are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§10.7 Mandatory columns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MiscAccount: account_name. Others checkbox - Miscellaneous: misc_name.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bl>
    <w:p>
      <w:pPr>
        <w:pStyle w:val="Heading1"/>
        <w:spacing w:after="120" w:before="300"/>
      </w:pPr>
      <w:r>
        <w:rPr>
          <w:rFonts w:ascii="Arial" w:cs="Arial" w:eastAsia="Arial" w:hAnsi="Arial"/>
          <w:b/>
          <w:bCs/>
          <w:sz w:val="30"/>
          <w:szCs w:val="30"/>
        </w:rPr>
        <w:t xml:space="preserve">4. Part A - Shared structure and working process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A1   Both documents cover the same twelve schemas</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documents describe the same twelve data areas (schemas) that are processed for a deal.</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Intro ("How to read this": "twelve schemas") and the rule sections §4 to §12A</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Rules are written schema by schema: Collateral (§4), Transactions (§5), Principal Activity / Principal Reduction (§6), Test Results (§7), Notes and Tranches (§8), Account Balance (§9), Misc Account and Miscellaneous (§10), Amortization (§11), Stratification (§12), Recovery Rate and Retention (§12A).</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a file is checked" - table of schema tabs (Order 01 to 12)</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tabs are checked one schema at a time in this order: AccountBalance, Collateral, Tranches, TestResult, Transactions, RecoveryRate, AmortizationSchedule, PrincipalReduction, Retention, MiscAccount, Miscellaneous, Stratification.</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Only the names differ slightly: Notes/Tranches, Principal Activity/Principal Reduction, Amortization/AmortizationSchedule.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A2   Last month is read from the live tables, with a fallback</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To compare with last month, both processes read the live tables first. If the live tables have nothing, both fall back to another source.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§17 Previous-month comparison (first paragraph)</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Last month is read from the live tables, falling back to the history tables if the live tables have nothing.</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a file is checked" - "Processing data / Live data" box. Also MiscAccount, Miscellaneous and Blank Data.</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Live tables hold what earlier uploads loaded, and checks read last month from there. When last month has no live data, most checks use last month's processing data instead.</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The fallback source is different. IVY falls back to the history tables. SCDO falls back to the processing (T_..._Process) tables.</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A3   Previous-month check on each tab and each column</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compare this month with last month at tab level and at column level. They catch a tab or column that has data in one month but none in the other.</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§17 Previous-month comparison (three findings)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Three findings are recorded: a table has data this month but none last month; a table has no data this month but had data last month; and the same test for each column. The stated aim is to catch a column that silently stopped being captured because the report layout changed. Recorded as advisories.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Blank Data checkbox - "Every schema, against last month"</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Fails when the tab has data this month but none last month, or the other way round. Fails when a column has data this month but none last month, or the other way round. Logged under "Blank data field error - Previous Month data".</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records advisories (it does not stop the deal). SCDO blocks the upload. IVY §17 refers to eleven schemas; SCDO applies to all schemas.</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A4   A serious failure stops the deal; other findings do not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processes separate findings that stop the deal from findings that are only for information.</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§20.1 The four message types (table)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PS (Process Stop): the deal fails and processing halts. YN: a confirmable warning where the operator decides. DM: recorded for review, not blocking. MSG: an advisory written to the run log, informational only.</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a file is checked" - "When a check fails" box, and the checkbox table (Result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When a check fails the data is not loaded, the file stays in the folder, no ASCII is produced and the run reports Process Failed. Every rule blocks the upload unless it is marked "Log only".</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has four message types, including a warning the operator can accept. SCDO describes blocking rules and one "Log only" rule.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A5   Exact error messages are quoted so they can be found in the error report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documents quote the real message text so that a reader can match it to what the application shows.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to read this" (last paragraph before §1)</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Where a rule fires an error, the exact message is quoted so it can be matched against what appears in the error report.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"When a check fails" box and the source note at the end of the document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Error log lists each line with the schema, the data field and the problem. Text in Consolas, such as log messages, is quoted from the code.</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None stated.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A6   The checks are tied to ASCII generation, which is the last step</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In both documents, the final checks run as part of generating the ASCII output.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§16 Order of execution (step 14), §18 Critical checks, and the code table "Where these rules live in the code"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Step 14 is "ASCII generation - coverage tests, critical checks, and the output formatting". §18 says its checks are recorded during ASCII generation. The code table places them in GenerateAscii (clsLogicForBulkUpload_For_IVY.cs).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Header table ("Check logic") and "When a check fails" box</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Check logic is in clsOutputAscii.cs, Generate_Final_AScii. ASCII output is produced only when every ticked check passes.</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The two documents name different code files. IVY's §18 checks are review flags. SCDO's checks block the upload.</w:t>
            </w:r>
          </w:p>
        </w:tc>
      </w:tr>
    </w:tbl>
    <w:p>
      <w:pPr>
        <w:spacing w:after="140"/>
      </w:pPr>
    </w:p>
    <w:p>
      <w:pPr>
        <w:pStyle w:val="Heading1"/>
        <w:spacing w:after="120" w:before="300"/>
      </w:pPr>
      <w:r>
        <w:rPr>
          <w:rFonts w:ascii="Arial" w:cs="Arial" w:eastAsia="Arial" w:hAnsi="Arial"/>
          <w:b/>
          <w:bCs/>
          <w:sz w:val="30"/>
          <w:szCs w:val="30"/>
        </w:rPr>
        <w:t xml:space="preserve">5. Part B - Common rules by schema</w:t>
      </w:r>
    </w:p>
    <w:p>
      <w:pPr>
        <w:pStyle w:val="Heading2"/>
        <w:spacing w:after="120" w:before="200"/>
      </w:pPr>
      <w:r>
        <w:rPr>
          <w:rFonts w:ascii="Arial" w:cs="Arial" w:eastAsia="Arial" w:hAnsi="Arial"/>
          <w:b/>
          <w:bCs/>
          <w:sz w:val="24"/>
          <w:szCs w:val="24"/>
        </w:rPr>
        <w:t xml:space="preserve">All schemas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   A price above 150 is flagged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column whose name contains "price" is tested against a ceiling of 150.</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Critical checks written to the Data Missing log (price bullet). Code: GenerateAscii.</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column whose name contains "price", in any schema, with a value above 150 is flagged. The column list is read from the database at run time.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"Every schema except Stratification" - Any price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Fails when a value in any column whose name contains "price" is above 150. The price columns come from each schema's processing table.</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only flags it in the Data Missing log (and also flags zero or missing prices). SCDO blocks the upload and excludes Stratification.</w:t>
            </w:r>
          </w:p>
        </w:tc>
      </w:tr>
    </w:tbl>
    <w:p>
      <w:pPr>
        <w:spacing w:after="140"/>
      </w:pPr>
    </w:p>
    <w:p>
      <w:pPr>
        <w:pStyle w:val="Heading2"/>
        <w:spacing w:after="120" w:before="200"/>
      </w:pPr>
      <w:r>
        <w:rPr>
          <w:rFonts w:ascii="Arial" w:cs="Arial" w:eastAsia="Arial" w:hAnsi="Arial"/>
          <w:b/>
          <w:bCs/>
          <w:sz w:val="24"/>
          <w:szCs w:val="24"/>
        </w:rPr>
        <w:t xml:space="preserve">Account Balance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B2   A run date that was already loaded for the deal is rejected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same reporting period cannot be loaded twice for a deal.</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§9.5 Trustee run date (second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run date already used for this deal fails the deal. It is the guard against reprocessing the same reporting period.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RunDate Check checkbox - AccountBalance (T_Account_Process_Live) - trustee_run_date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Fails when live data already exists for this deal with the same trustee_run_date. Message: Deal exists against same trustee_run_date.</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says the guard can be overridden by a "Refinance deal" exemption or by ticking Compare ASCII. SCDO does not describe an override here.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B3   Trustee deal name is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blank trustee deal name is not accepted.</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§9.6 Deal and manager names (first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blank trustee deal name fails the deal.</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AccountBalance (T_Account_Process_Live) - trustee_deal_name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Required.</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None stated.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B4   Collateral manager is compared with last period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collateral manager name is compared with the previous period.</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§9.6 Deal and manager names (third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collateral manager name that differs from last period raises an advisory.</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AccountBalance (T_Account_Process_Live) - trustee_collateral_manager</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Must match last month's value. To load a genuine change of collateral manager, untick Others for that run.</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only gives an advisory. SCDO fails the upload.</w:t>
            </w:r>
          </w:p>
        </w:tc>
      </w:tr>
    </w:tbl>
    <w:p>
      <w:pPr>
        <w:spacing w:after="140"/>
      </w:pPr>
    </w:p>
    <w:p>
      <w:pPr>
        <w:pStyle w:val="Heading2"/>
        <w:spacing w:after="120" w:before="200"/>
      </w:pPr>
      <w:r>
        <w:rPr>
          <w:rFonts w:ascii="Arial" w:cs="Arial" w:eastAsia="Arial" w:hAnsi="Arial"/>
          <w:b/>
          <w:bCs/>
          <w:sz w:val="24"/>
          <w:szCs w:val="24"/>
        </w:rPr>
        <w:t xml:space="preserve">Collateral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B5   Spread and adjusted spread have a maximum value</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Spread and adjusted spread are tested against an upper limit.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Critical checks (first bullet) and §1.10 Numeric range ceiling</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a count of values above 25 is recorded for spread, adjusted spread, index cap, index floor and current interest rate. §1.10: six rate fields (current interest rate, spread, adjusted spread, PIK coupon, index cap, index floor) must not exceed 20, otherwise the deal fails.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spread, spread_adjusted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Neither may be above 25.</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Limits differ inside IVY: 25 in §18 (review flag) and 20 in §1.10 (fails the deal). SCDO uses 25 and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B6   Recovery rates above 100 are not accepted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recovery percentage or S&amp;P recovery rate above 100 is an error.</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§4.8 Recovery rates (also §4.15B Recovery rate formats)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recovery percentage above 100 fails the deal. An S&amp;P recovery rate above 100 fails the deal the same way. Message: "Recovery rate may be &gt;100".</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sp_recovery_rate, fitch_recovery_rate, applicable_recovery_pct, recovery_pct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None may be above 100.</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Same for recovery percentage and S&amp;P recovery rate. SCDO also lists the Fitch recovery rate and applicable recovery percentage.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B7   Capitalised interest above zero goes with PIK = Y</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When capitalised interest is greater than zero, the PIK flag must be 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§4.12 PIK (payment in kind)</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Capitalised interest greater than zero sets is_pikking to Y. This applies to Citibank when the column was in the report, and to other trustees where PIK was not supplied by a data file.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capitalized_int, is_pikking</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capitalized_int above zero needs is_pikking set to Y.</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sets the flag. SCDO checks that it is set.</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B8   Fixed-coupon assets have no index adjustment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assets with coupon type FIXED, index adjustment must be empty.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§4.5 Fixed-coupon assets (also §4.14)</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Assets with coupon type FIXED have index, spread, adjusted spread and index adjustment cleared.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coupon_type_desc, index_adjustment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index_adjustment must be blank when coupon_type_desc is FIXED or blank.</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clears the value. SCDO checks that it is blank. SCDO also applies it when the coupon type is blank.</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B9   EUR assets have no index adjustment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EUR assets, index adjustment must be empty.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§4.14 Spread and index adjustment ("BNY, EUR deals")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On BNY EUR deals, index adjustment is cleared entirely.</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currency_desc, index_adjustment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Holdings in EUR must have a blank index_adjustment.</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states it for BNY EUR deals. SCDO states it for all EUR holdings.</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B10   Equity maturity is the trustee run date plus two years</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equity assets, the maturity date is the trustee run date plus two years.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§4.4 Equity assets (first two bullets)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 equity asset with no maturity is given the trustee run date plus two years (applied twice in the run). A maturity of 1900 or 2100 on an equity asset is cleared.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 "Equity holdings only" - maturity. Also With Maturity Check.</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Maturity must equal the trustee run date plus two years. With Maturity Check: maturity is required on every holding except equity-type holdings.</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fills the date when it is missing. SCDO checks that the equity maturity equals that date.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B11   Equity is recognised by security type</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documents use a list of security-type names to identify equity assets.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§4.4 Equity assets (fourth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Recognised equity security types include: Equity, Equity Security, Equity securities, Specified Equity, Warrants, Warrant, Common stock, Preference Equity, CS, EQ, EQ1, FU, PE.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With Maturity Check checkbox - Collateral - maturity, security_type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Equity-type means a security_type of equity, eq, common stock, fund unit(s), warrant(s) or equity security.</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The terms that appear in both lists: equity, equity security, common stock, warrant/warrants, EQ. The rest of each list is different.</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B12   A collateral column that is blank throughout is caught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look for collateral columns that are completely empty.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Critical checks (bullet: any collateral column entirely empty). Code: GenerateAscii.</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collateral column that is entirely empty, or populated in fewer than half the rows, is written to the Data Missing log (default status is exempt from the half-populated check).</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Critical Field checkbox - Collateral - and Others checkbox - Collateral - next_payment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default_status, principal_balance, industry_name, spread, spread_adjusted, current_interest_rate, sp_seniority and index_adjustment each fail when the whole column is blank. next_payment fails when the whole column is blank.</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covers every collateral column and only logs it. SCDO names specific columns and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B13   A collateral currency is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Collateral must carry a currency.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§3.3 Currency is mandatory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no collateral row carries a currency code at all, the deal fails: "Currency Code is blank for this deal. Please map currency code and reupload."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currency_desc</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Required. (The SCDO introduction says currency_desc is stored as CURRENCY_CODE.)</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IVY fails only when no row has a currency. SCDO says the field is required.</w:t>
            </w:r>
          </w:p>
        </w:tc>
      </w:tr>
    </w:tbl>
    <w:p>
      <w:pPr>
        <w:spacing w:after="140"/>
      </w:pPr>
    </w:p>
    <w:p>
      <w:pPr>
        <w:pStyle w:val="Heading2"/>
        <w:spacing w:after="120" w:before="200"/>
      </w:pPr>
      <w:r>
        <w:rPr>
          <w:rFonts w:ascii="Arial" w:cs="Arial" w:eastAsia="Arial" w:hAnsi="Arial"/>
          <w:b/>
          <w:bCs/>
          <w:sz w:val="24"/>
          <w:szCs w:val="24"/>
        </w:rPr>
        <w:t xml:space="preserve">Collateral / other tabs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B14   The deal currency comes from Collateral and is used on the other tabs</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treat the collateral currency as the deal currency and relate it to currency fields on the other tabs.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§3.2 Filling in a missing currency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the deal uses exactly one currency across all collateral, that currency is copied into every blank currency field in Principal Activity, Transactions, Misc Account, Miscellaneous and Account Balance. A multi-currency deal is not filled in.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Currency checkbox - AccountBalance, Collateral, Transactions, PrincipalReduction, Miscellaneous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deal's currency is the CURRENCY_CODE in the processing team's Collateral data. The currency columns on those tabs must equal the deal's currency.</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IVY fills blank fields. SCDO checks that the values equal the deal currency.</w:t>
            </w:r>
          </w:p>
        </w:tc>
      </w:tr>
    </w:tbl>
    <w:p>
      <w:pPr>
        <w:spacing w:after="140"/>
      </w:pPr>
    </w:p>
    <w:p>
      <w:pPr>
        <w:pStyle w:val="Heading2"/>
        <w:spacing w:after="120" w:before="200"/>
      </w:pPr>
      <w:r>
        <w:rPr>
          <w:rFonts w:ascii="Arial" w:cs="Arial" w:eastAsia="Arial" w:hAnsi="Arial"/>
          <w:b/>
          <w:bCs/>
          <w:sz w:val="24"/>
          <w:szCs w:val="24"/>
        </w:rPr>
        <w:t xml:space="preserve">Transactions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B15   Transaction issuer name is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transaction must have an issuer name.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§5.11 Issuer name is mandatory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transaction with a blank or missing issuer name is rejected and the deal fails. The message quotes the collateral key, transaction type, CUSIP, ISIN and par.</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Transactions (T_TransAction_Process_Live) - issuer_name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Required, and no longer than 155 characters.</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SCDO adds a 155-character limit.</w:t>
            </w:r>
          </w:p>
        </w:tc>
      </w:tr>
    </w:tbl>
    <w:p>
      <w:pPr>
        <w:spacing w:after="140"/>
      </w:pPr>
    </w:p>
    <w:p>
      <w:pPr>
        <w:pStyle w:val="Heading2"/>
        <w:spacing w:after="120" w:before="200"/>
      </w:pPr>
      <w:r>
        <w:rPr>
          <w:rFonts w:ascii="Arial" w:cs="Arial" w:eastAsia="Arial" w:hAnsi="Arial"/>
          <w:b/>
          <w:bCs/>
          <w:sz w:val="24"/>
          <w:szCs w:val="24"/>
        </w:rPr>
        <w:t xml:space="preserve">Principal Activity / Principal Reduction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B16   Total proceeds equals principal plus interest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On this tab, total proceeds is the sum of principal and interest.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§6.5 Total proceeds is the sum</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Total proceeds is set to interest plus principal, and interest and principal are then both cleared. Nulls count as zero. It runs three times during the upload.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PrincipalReduction (T_PrincipalActivities_Process_Live) - principal, interest, total_proceeds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total_proceeds must equal principal plus interest. Rows missing any of the three are skipped.</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calculates the value. SCDO checks that it is equal.</w:t>
            </w:r>
          </w:p>
        </w:tc>
      </w:tr>
    </w:tbl>
    <w:p>
      <w:pPr>
        <w:spacing w:after="140"/>
      </w:pPr>
    </w:p>
    <w:p>
      <w:pPr>
        <w:pStyle w:val="Heading2"/>
        <w:spacing w:after="120" w:before="200"/>
      </w:pPr>
      <w:r>
        <w:rPr>
          <w:rFonts w:ascii="Arial" w:cs="Arial" w:eastAsia="Arial" w:hAnsi="Arial"/>
          <w:b/>
          <w:bCs/>
          <w:sz w:val="24"/>
          <w:szCs w:val="24"/>
        </w:rPr>
        <w:t xml:space="preserve">Test Results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B17   A test_current above 10,000 is treated as implausible</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use 10,000 as the limit for the current test value.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§7.4 Implausible values (second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test_current above 10,000 is moved into test_balance (where empty) and test_current is cleared.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TestResult checkbox - TestResult (T_Test_Results_Process_Live) - test_current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Fails when a value is above 10,000.</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Same limit. IVY corrects the value. SCDO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B18   A blank is_tr_test is caught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deal with an is_tr_test column that has no values.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§7.3 Trustee test flag - the is_tr_test rule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every row's is_tr_test is blank, every row is set to N. If only some are blank, only the blanks are set to 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TestResult - is_tr_test; and TestResult checkbox - is_tr_test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Fails when the whole column is blank. On the TestResult checkbox it is required on every row and must be Y or N.</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Same field and same condition. IVY fills in N. SCDO rejects the blank.</w:t>
            </w:r>
          </w:p>
        </w:tc>
      </w:tr>
    </w:tbl>
    <w:p>
      <w:pPr>
        <w:spacing w:after="140"/>
      </w:pPr>
    </w:p>
    <w:p>
      <w:pPr>
        <w:pStyle w:val="Heading2"/>
        <w:spacing w:after="120" w:before="200"/>
      </w:pPr>
      <w:r>
        <w:rPr>
          <w:rFonts w:ascii="Arial" w:cs="Arial" w:eastAsia="Arial" w:hAnsi="Arial"/>
          <w:b/>
          <w:bCs/>
          <w:sz w:val="24"/>
          <w:szCs w:val="24"/>
        </w:rPr>
        <w:t xml:space="preserve">Amortization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B19   A big drop in amortization rows compared with last month</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compare the number of amortization rows with last month and report a large drop.</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§11.5 Data-volume check and §18 Critical checks (amortisation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this month has fewer than half as many rows as last month, it is flagged. Message: "This Month Amortization Table has 50% less data than previous month".</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With Amort Check checkbox - AmortizationSchedule (T_Amortization_Process_Live) - row count, vendor_id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Compares rows with vendor_id ICRA against last month. Fails when this month has more than 80% fewer rows. Message: "This Month Amortization Table has 80% less data than previous month".</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The threshold differs: 50% in IVY and 80% in SCDO. IVY flags it in the Data Missing log. SCDO blocks the upload.</w:t>
            </w:r>
          </w:p>
        </w:tc>
      </w:tr>
    </w:tbl>
    <w:p>
      <w:pPr>
        <w:spacing w:after="140"/>
      </w:pPr>
    </w:p>
    <w:p>
      <w:pPr>
        <w:pStyle w:val="Heading2"/>
        <w:spacing w:after="120" w:before="200"/>
      </w:pPr>
      <w:r>
        <w:rPr>
          <w:rFonts w:ascii="Arial" w:cs="Arial" w:eastAsia="Arial" w:hAnsi="Arial"/>
          <w:b/>
          <w:bCs/>
          <w:sz w:val="24"/>
          <w:szCs w:val="24"/>
        </w:rPr>
        <w:t xml:space="preserve">Misc Account / Miscellaneous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B20   Row count is compared with last month</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number of Misc Account rows and Miscellaneous rows must agree with last month.</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§10.8 Row-count comparison with last period (also §20.2)</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the number of Misc Account rows differs from last month, a mismatch is recorded: "MisAcount data mismatched with previous month". Same check for Miscellaneous.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MiscAccount checkbox and Miscellaneous checkbox - row count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number of accounts (MiscAccount) and the number of items (Miscellaneous) must match last month's.</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records a mismatch for review. SCDO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B21   Account name and misc name are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Account name (Misc Account) and misc name (Miscellaneous) must be present.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§10.7 Mandatory columns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IVY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Missing MISC_TYPE, MISC_NAME or ACCOUNT_NAME fails the deal, naming the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MiscAccount: account_name. Others checkbox - Miscellaneous: misc_name.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SCDO document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Required.</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also requires MISC_TYPE.</w:t>
            </w:r>
          </w:p>
        </w:tc>
      </w:tr>
    </w:tbl>
    <w:p>
      <w:pPr>
        <w:spacing w:after="140"/>
      </w:pPr>
    </w:p>
    <w:p>
      <w:pPr>
        <w:pStyle w:val="Heading1"/>
        <w:spacing w:after="120" w:before="300"/>
      </w:pPr>
      <w:r>
        <w:rPr>
          <w:rFonts w:ascii="Arial" w:cs="Arial" w:eastAsia="Arial" w:hAnsi="Arial"/>
          <w:b/>
          <w:bCs/>
          <w:sz w:val="30"/>
          <w:szCs w:val="30"/>
        </w:rPr>
        <w:t xml:space="preserve">6. Left out on purpose</w:t>
      </w:r>
    </w:p>
    <w:p>
      <w:pPr>
        <w:spacing w:after="60"/>
      </w:pPr>
      <w:r>
        <w:rPr>
          <w:rFonts w:ascii="Arial" w:cs="Arial" w:eastAsia="Arial" w:hAnsi="Arial"/>
          <w:sz w:val="20"/>
          <w:szCs w:val="20"/>
        </w:rPr>
        <w:t xml:space="preserve">These points appear in both documents but the rules are different, so they are not common items:</w:t>
      </w:r>
    </w:p>
    <w:p>
      <w:pPr>
        <w:pStyle w:val="ListParagraph"/>
        <w:numPr>
          <w:ilvl w:val="0"/>
          <w:numId w:val="2"/>
        </w:numPr>
        <w:spacing w:after="40"/>
      </w:pPr>
      <w:r>
        <w:rPr>
          <w:rFonts w:ascii="Arial" w:cs="Arial" w:eastAsia="Arial" w:hAnsi="Arial"/>
          <w:sz w:val="20"/>
          <w:szCs w:val="20"/>
        </w:rPr>
        <w:t xml:space="preserve">Currency validity. IVY §3.1 checks that a currency code is on the permitted list. SCDO (Currency) checks that it equals the deal's currency.</w:t>
      </w:r>
    </w:p>
    <w:p>
      <w:pPr>
        <w:pStyle w:val="ListParagraph"/>
        <w:numPr>
          <w:ilvl w:val="0"/>
          <w:numId w:val="2"/>
        </w:numPr>
        <w:spacing w:after="40"/>
      </w:pPr>
      <w:r>
        <w:rPr>
          <w:rFonts w:ascii="Arial" w:cs="Arial" w:eastAsia="Arial" w:hAnsi="Arial"/>
          <w:sz w:val="20"/>
          <w:szCs w:val="20"/>
        </w:rPr>
        <w:t xml:space="preserve">Transaction price. IVY §5.7 multiplies a price below 2 by 100. SCDO (Price) fails a price below 5.</w:t>
      </w:r>
    </w:p>
    <w:p>
      <w:pPr>
        <w:pStyle w:val="ListParagraph"/>
        <w:numPr>
          <w:ilvl w:val="0"/>
          <w:numId w:val="2"/>
        </w:numPr>
        <w:spacing w:after="40"/>
      </w:pPr>
      <w:r>
        <w:rPr>
          <w:rFonts w:ascii="Arial" w:cs="Arial" w:eastAsia="Arial" w:hAnsi="Arial"/>
          <w:sz w:val="20"/>
          <w:szCs w:val="20"/>
        </w:rPr>
        <w:t xml:space="preserve">BNY trade and settlement dates. IVY §5.9 moves a date depending on the configured method. SCDO (Transaction Date) fails a row where both dates are the same.</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Common Rules Report - IVY vs SCDO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4"/>
      <w:szCs w:val="44"/>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2026-09-29T05:49:33.587Z</dcterms:created>
  <dcterms:modified xsi:type="dcterms:W3CDTF">2026-09-29T05:49:33.598Z</dcterms:modified>
</cp:coreProperties>
</file>

<file path=docProps/custom.xml><?xml version="1.0" encoding="utf-8"?>
<Properties xmlns="http://schemas.openxmlformats.org/officeDocument/2006/custom-properties" xmlns:vt="http://schemas.openxmlformats.org/officeDocument/2006/docPropsVTypes"/>
</file>