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b/>
          <w:bCs/>
          <w:color w:val="1B4F8A"/>
          <w:sz w:val="64"/>
          <w:szCs w:val="64"/>
        </w:rPr>
        <w:t xml:space="preserve">ikwe.ai</w:t>
      </w:r>
    </w:p>
    <w:p>
      <w:pPr>
        <w:spacing w:after="80"/>
      </w:pPr>
      <w:r>
        <w:rPr>
          <w:color w:val="1B2631"/>
          <w:sz w:val="44"/>
          <w:szCs w:val="44"/>
        </w:rPr>
        <w:t xml:space="preserve">Campaign.io Email Sequences</w:t>
      </w:r>
    </w:p>
    <w:p>
      <w:pPr>
        <w:spacing w:after="80"/>
      </w:pPr>
      <w:r>
        <w:rPr>
          <w:color w:val="444444"/>
          <w:sz w:val="26"/>
          <w:szCs w:val="26"/>
        </w:rPr>
        <w:t xml:space="preserve">New Customer Acquisition — Startup Founders &amp; CEOs</w:t>
      </w:r>
    </w:p>
    <w:p>
      <w:pPr>
        <w:spacing w:after="600"/>
      </w:pPr>
      <w:r>
        <w:rPr>
          <w:color w:val="666666"/>
          <w:sz w:val="22"/>
          <w:szCs w:val="22"/>
        </w:rPr>
        <w:t xml:space="preserve">March 2026  ·  Prepared for Stephanie Stranko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b/>
                <w:bCs/>
                <w:color w:val="1B4F8A"/>
                <w:sz w:val="28"/>
                <w:szCs w:val="28"/>
              </w:rPr>
              <w:t xml:space="preserve">3 Sequences</w:t>
            </w:r>
          </w:p>
          <w:p>
            <w:pPr>
              <w:jc w:val="center"/>
            </w:pPr>
            <w:r>
              <w:rPr>
                <w:color w:val="555555"/>
                <w:sz w:val="18"/>
                <w:szCs w:val="18"/>
              </w:rPr>
              <w:t xml:space="preserve">Total</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b/>
                <w:bCs/>
                <w:color w:val="1B4F8A"/>
                <w:sz w:val="28"/>
                <w:szCs w:val="28"/>
              </w:rPr>
              <w:t xml:space="preserve">9 Emails</w:t>
            </w:r>
          </w:p>
          <w:p>
            <w:pPr>
              <w:jc w:val="center"/>
            </w:pPr>
            <w:r>
              <w:rPr>
                <w:color w:val="555555"/>
                <w:sz w:val="18"/>
                <w:szCs w:val="18"/>
              </w:rPr>
              <w:t xml:space="preserve">3 per sequence</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b/>
                <w:bCs/>
                <w:color w:val="1B4F8A"/>
                <w:sz w:val="28"/>
                <w:szCs w:val="28"/>
              </w:rPr>
              <w:t xml:space="preserve">ICP: Founders</w:t>
            </w:r>
          </w:p>
          <w:p>
            <w:pPr>
              <w:jc w:val="center"/>
            </w:pPr>
            <w:r>
              <w:rPr>
                <w:color w:val="555555"/>
                <w:sz w:val="18"/>
                <w:szCs w:val="18"/>
              </w:rPr>
              <w:t xml:space="preserve">CEOs, 2–50 person AI startups</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60"/>
              <w:bottom w:type="dxa" w:w="120"/>
              <w:right w:type="dxa" w:w="160"/>
            </w:tcMar>
          </w:tcPr>
          <w:p>
            <w:pPr>
              <w:jc w:val="center"/>
            </w:pPr>
            <w:r>
              <w:rPr>
                <w:b/>
                <w:bCs/>
                <w:color w:val="1B4F8A"/>
                <w:sz w:val="28"/>
                <w:szCs w:val="28"/>
              </w:rPr>
              <w:t xml:space="preserve">Goal: Audit</w:t>
            </w:r>
          </w:p>
          <w:p>
            <w:pPr>
              <w:jc w:val="center"/>
            </w:pPr>
            <w:r>
              <w:rPr>
                <w:color w:val="555555"/>
                <w:sz w:val="18"/>
                <w:szCs w:val="18"/>
              </w:rPr>
              <w:t xml:space="preserve">Book scope call or trial audit</w:t>
            </w:r>
          </w:p>
        </w:tc>
      </w:tr>
    </w:tbl>
    <w:p>
      <w:pPr>
        <w:spacing w:before="400"/>
      </w:pPr>
      <w:r>
        <w:br w:type="page"/>
      </w:r>
    </w:p>
    <w:p>
      <w:pPr>
        <w:pStyle w:val="Heading1"/>
      </w:pPr>
      <w:r>
        <w:rPr>
          <w:b/>
          <w:bCs/>
          <w:color w:val="1B2631"/>
        </w:rPr>
        <w:t xml:space="preserve">Campaign Strategy</w:t>
      </w:r>
    </w:p>
    <w:p>
      <w:pPr>
        <w:spacing w:after="120"/>
      </w:pPr>
      <w:r>
        <w:t xml:space="preserve">Three sequences, each targeting a different angle of the same buyer problem: a startup founder who has built a human-facing AI product and hasn't yet thought critically about behavioral safety. Each sequence uses a distinct opening hook so Campaign.io can A/B test or segment by lead source.</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Sequence</w:t>
            </w:r>
          </w:p>
        </w:tc>
        <w:tc>
          <w:tcPr>
            <w:tcW w:type="dxa" w:w="28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Hook / Angle</w:t>
            </w:r>
          </w:p>
        </w:tc>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Best for</w:t>
            </w:r>
          </w:p>
        </w:tc>
        <w:tc>
          <w:tcPr>
            <w:tcW w:type="dxa" w:w="2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End CTA</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 — Risk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"Your AI has talked to emotionally vulnerable users. Do you know how it behaved?"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Pre-launch or recently launched founders; anyone in health, mental health, or companion AI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Book a scope call</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 — Trust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"The gap between building AI and being trusted with humans is one audit."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Founders raising funding, entering enterprise sales, or pitching regulated industries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Request a sample report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C — Data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sz w:val="20"/>
                <w:szCs w:val="20"/>
              </w:rPr>
              <w:t xml:space="preserve">"44.9% of AI systems fail the behavioral safety gate. Most teams don't know until it's too late."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Technical founders; data-driven operators; anyone who responds to benchmarks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View public benchmark leaderboard</w:t>
            </w:r>
          </w:p>
        </w:tc>
      </w:tr>
    </w:tbl>
    <w:p>
      <w:pPr>
        <w:spacing w:before="400"/>
      </w:pPr>
      <w:r>
        <w:br w:type="page"/>
      </w:r>
    </w:p>
    <w:p>
      <w:pPr>
        <w:pBdr>
          <w:bottom w:val="single" w:color="1B4F8A" w:sz="6"/>
        </w:pBdr>
        <w:spacing w:after="120" w:before="400"/>
      </w:pPr>
      <w:r>
        <w:rPr>
          <w:b/>
          <w:bCs/>
          <w:caps/>
          <w:color w:val="1B4F8A"/>
          <w:sz w:val="24"/>
          <w:szCs w:val="24"/>
        </w:rPr>
        <w:t xml:space="preserve">Sequence A — Risk Angle</w:t>
      </w:r>
    </w:p>
    <w:p>
      <w:pPr>
        <w:spacing w:after="120"/>
      </w:pPr>
      <w:r>
        <w:rPr>
          <w:color w:val="555555"/>
        </w:rPr>
        <w:t xml:space="preserve">Best for: founders shipping AI into health, mental health, consumer wellness, coaching, or companion contexts. Three emails, 5–7 day gaps.</w:t>
      </w:r>
    </w:p>
    <w:p>
      <w:pPr>
        <w:spacing w:before="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b/>
                <w:bCs/>
                <w:color w:val="FFFFFF"/>
                <w:sz w:val="28"/>
                <w:szCs w:val="28"/>
              </w:rPr>
              <w:t xml:space="preserve">EMAIL A1</w:t>
            </w:r>
            <w:r>
              <w:rPr>
                <w:color w:val="BBDDFF"/>
                <w:sz w:val="20"/>
                <w:szCs w:val="20"/>
              </w:rPr>
              <w:t xml:space="preserve">   ·   Day 1 — Cold outreach</w:t>
            </w:r>
          </w:p>
        </w:tc>
      </w:tr>
      <w:tr>
        <w:tc>
          <w:tcPr>
            <w:tcW w:type="dxa" w:w="1400"/>
            <w:tcBorders>
              <w:top w:val="none" w:color="FFFFFF" w:sz="0"/>
              <w:left w:val="none" w:color="FFFFFF" w:sz="0"/>
              <w:bottom w:val="none" w:color="FFFFFF" w:sz="0"/>
              <w:right w:val="none" w:color="FFFFFF" w:sz="0"/>
            </w:tcBorders>
            <w:shd w:fill="EEF4FB" w:val="clear"/>
            <w:tcMar>
              <w:top w:type="dxa" w:w="80"/>
              <w:left w:type="dxa" w:w="200"/>
              <w:bottom w:type="dxa" w:w="80"/>
              <w:right w:type="dxa" w:w="100"/>
            </w:tcMar>
          </w:tcPr>
          <w:p>
            <w:r>
              <w:rPr>
                <w:b/>
                <w:bCs/>
                <w:color w:val="1B4F8A"/>
                <w:sz w:val="19"/>
                <w:szCs w:val="19"/>
              </w:rPr>
              <w:t xml:space="preserve">Subject line:</w:t>
            </w:r>
          </w:p>
        </w:tc>
        <w:tc>
          <w:tcPr>
            <w:tcW w:type="dxa" w:w="7960"/>
            <w:tcBorders>
              <w:top w:val="none" w:color="FFFFFF" w:sz="0"/>
              <w:left w:val="none" w:color="FFFFFF" w:sz="0"/>
              <w:bottom w:val="none" w:color="FFFFFF" w:sz="0"/>
              <w:right w:val="none" w:color="FFFFFF" w:sz="0"/>
            </w:tcBorders>
            <w:shd w:fill="EEF4FB" w:val="clear"/>
            <w:tcMar>
              <w:top w:type="dxa" w:w="80"/>
              <w:left w:type="dxa" w:w="100"/>
              <w:bottom w:type="dxa" w:w="80"/>
              <w:right w:type="dxa" w:w="200"/>
            </w:tcMar>
          </w:tcPr>
          <w:p>
            <w:r>
              <w:rPr>
                <w:b/>
                <w:bCs/>
                <w:sz w:val="22"/>
                <w:szCs w:val="22"/>
              </w:rPr>
              <w:t xml:space="preserve">Does your AI know when someone's in distress?</w:t>
            </w:r>
          </w:p>
        </w:tc>
      </w:tr>
      <w:tr>
        <w:tc>
          <w:tcPr>
            <w:gridSpan w:val="2"/>
            <w:tcBorders>
              <w:top w:val="none" w:color="FFFFFF" w:sz="0"/>
              <w:left w:val="none" w:color="FFFFFF" w:sz="0"/>
              <w:bottom w:val="none" w:color="FFFFFF" w:sz="0"/>
              <w:right w:val="none" w:color="FFFFFF" w:sz="0"/>
            </w:tcBorders>
            <w:shd w:fill="FFFFFF" w:val="clear"/>
            <w:tcMar>
              <w:top w:type="dxa" w:w="160"/>
              <w:left w:type="dxa" w:w="200"/>
              <w:bottom w:type="dxa" w:w="40"/>
              <w:right w:type="dxa" w:w="200"/>
            </w:tcMar>
          </w:tcPr>
          <w:p>
            <w:r>
              <w:rPr>
                <w:b/>
                <w:bCs/>
                <w:color w:val="888888"/>
                <w:sz w:val="18"/>
                <w:szCs w:val="18"/>
              </w:rPr>
              <w:t xml:space="preserve">Body:</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80" w:before="80"/>
            </w:pPr>
            <w:r>
              <w:rPr>
                <w:sz w:val="21"/>
                <w:szCs w:val="21"/>
              </w:rPr>
              <w:t xml:space="preserve">Hi {{first_name}},</w:t>
            </w:r>
          </w:p>
          <w:p>
            <w:pPr>
              <w:spacing w:after="60" w:before="60"/>
            </w:pPr>
            <w:r>
              <w:rPr>
                <w:sz w:val="21"/>
                <w:szCs w:val="21"/>
              </w:rPr>
              <w:t xml:space="preserve"/>
            </w:r>
          </w:p>
          <w:p>
            <w:pPr>
              <w:spacing w:after="80" w:before="80"/>
            </w:pPr>
            <w:r>
              <w:rPr>
                <w:sz w:val="21"/>
                <w:szCs w:val="21"/>
              </w:rPr>
              <w:t xml:space="preserve">{{company}} is building in a space where the people who talk to your AI are sometimes struggling.</w:t>
            </w:r>
          </w:p>
          <w:p>
            <w:pPr>
              <w:spacing w:after="60" w:before="60"/>
            </w:pPr>
            <w:r>
              <w:rPr>
                <w:sz w:val="21"/>
                <w:szCs w:val="21"/>
              </w:rPr>
              <w:t xml:space="preserve"/>
            </w:r>
          </w:p>
          <w:p>
            <w:pPr>
              <w:spacing w:after="80" w:before="80"/>
            </w:pPr>
            <w:r>
              <w:rPr>
                <w:sz w:val="21"/>
                <w:szCs w:val="21"/>
              </w:rPr>
              <w:t xml:space="preserve">Most founders I talk to have thought about product safety. Fewer have run independent testing on what their system actually does when a user is distressed — not just what it's supposed to do.</w:t>
            </w:r>
          </w:p>
          <w:p>
            <w:pPr>
              <w:spacing w:after="60" w:before="60"/>
            </w:pPr>
            <w:r>
              <w:rPr>
                <w:sz w:val="21"/>
                <w:szCs w:val="21"/>
              </w:rPr>
              <w:t xml:space="preserve"/>
            </w:r>
          </w:p>
          <w:p>
            <w:pPr>
              <w:spacing w:after="80" w:before="80"/>
            </w:pPr>
            <w:r>
              <w:rPr>
                <w:sz w:val="21"/>
                <w:szCs w:val="21"/>
              </w:rPr>
              <w:t xml:space="preserve">We run behavioral safety audits on human-facing AI. We put your system through 79 emotionally vulnerable scenarios and tell you exactly where it stabilizes, escalates, or quietly makes things worse.</w:t>
            </w:r>
          </w:p>
          <w:p>
            <w:pPr>
              <w:spacing w:after="60" w:before="60"/>
            </w:pPr>
            <w:r>
              <w:rPr>
                <w:sz w:val="21"/>
                <w:szCs w:val="21"/>
              </w:rPr>
              <w:t xml:space="preserve"/>
            </w:r>
          </w:p>
          <w:p>
            <w:pPr>
              <w:spacing w:after="80" w:before="80"/>
            </w:pPr>
            <w:r>
              <w:rPr>
                <w:sz w:val="21"/>
                <w:szCs w:val="21"/>
              </w:rPr>
              <w:t xml:space="preserve">44.9% of systems fail the baseline gate. Most of those teams were surprised.</w:t>
            </w:r>
          </w:p>
          <w:p>
            <w:pPr>
              <w:spacing w:after="60" w:before="60"/>
            </w:pPr>
            <w:r>
              <w:rPr>
                <w:sz w:val="21"/>
                <w:szCs w:val="21"/>
              </w:rPr>
              <w:t xml:space="preserve"/>
            </w:r>
          </w:p>
          <w:p>
            <w:pPr>
              <w:spacing w:after="80" w:before="80"/>
            </w:pPr>
            <w:r>
              <w:rPr>
                <w:sz w:val="21"/>
                <w:szCs w:val="21"/>
              </w:rPr>
              <w:t xml:space="preserve">Worth 20 minutes to find out where you land?</w:t>
            </w:r>
          </w:p>
          <w:p>
            <w:pPr>
              <w:spacing w:after="60" w:before="60"/>
            </w:pPr>
            <w:r>
              <w:rPr>
                <w:sz w:val="21"/>
                <w:szCs w:val="21"/>
              </w:rPr>
              <w:t xml:space="preserve"/>
            </w:r>
          </w:p>
          <w:p>
            <w:pPr>
              <w:spacing w:after="80" w:before="80"/>
            </w:pPr>
            <w:r>
              <w:rPr>
                <w:sz w:val="21"/>
                <w:szCs w:val="21"/>
              </w:rPr>
              <w:t xml:space="preserve">— Stephanie</w:t>
            </w:r>
          </w:p>
          <w:p>
            <w:pPr>
              <w:spacing w:after="60" w:before="60"/>
            </w:pPr>
            <w:r>
              <w:rPr>
                <w:sz w:val="21"/>
                <w:szCs w:val="21"/>
              </w:rPr>
              <w:t xml:space="preserve"/>
            </w:r>
          </w:p>
          <w:p>
            <w:pPr>
              <w:spacing w:after="80" w:before="80"/>
            </w:pPr>
            <w:r>
              <w:rPr>
                <w:sz w:val="21"/>
                <w:szCs w:val="21"/>
              </w:rPr>
              <w:t xml:space="preserve">Stephanie Stranko | ikwe.ai | Independent AI Behavioral Safety</w:t>
            </w:r>
          </w:p>
        </w:tc>
      </w:tr>
      <w:tr>
        <w:tc>
          <w:tcPr>
            <w:gridSpan w:val="2"/>
            <w:tcBorders>
              <w:top w:val="single" w:color="CCCCCC" w:sz="1"/>
              <w:left w:val="none" w:color="FFFFFF" w:sz="0"/>
              <w:bottom w:val="none" w:color="FFFFFF" w:sz="0"/>
              <w:right w:val="none" w:color="FFFFFF" w:sz="0"/>
            </w:tcBorders>
            <w:shd w:fill="F0F4F8" w:val="clear"/>
            <w:tcMar>
              <w:top w:type="dxa" w:w="120"/>
              <w:left w:type="dxa" w:w="200"/>
              <w:bottom w:type="dxa" w:w="120"/>
              <w:right w:type="dxa" w:w="200"/>
            </w:tcMar>
          </w:tcPr>
          <w:p>
            <w:r>
              <w:rPr>
                <w:b/>
                <w:bCs/>
                <w:color w:val="1B4F8A"/>
                <w:sz w:val="19"/>
                <w:szCs w:val="19"/>
              </w:rPr>
              <w:t xml:space="preserve">CTA / Goal: </w:t>
            </w:r>
            <w:r>
              <w:rPr>
                <w:i/>
                <w:iCs/>
                <w:sz w:val="19"/>
                <w:szCs w:val="19"/>
              </w:rPr>
              <w:t xml:space="preserve">Book a scope call — link to ikwe.ai/audit</w:t>
            </w:r>
          </w:p>
        </w:tc>
      </w:tr>
    </w:tbl>
    <w:p>
      <w:pPr>
        <w:spacing w:before="3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b/>
                <w:bCs/>
                <w:color w:val="FFFFFF"/>
                <w:sz w:val="28"/>
                <w:szCs w:val="28"/>
              </w:rPr>
              <w:t xml:space="preserve">EMAIL A2</w:t>
            </w:r>
            <w:r>
              <w:rPr>
                <w:color w:val="BBDDFF"/>
                <w:sz w:val="20"/>
                <w:szCs w:val="20"/>
              </w:rPr>
              <w:t xml:space="preserve">   ·   Day 6 — Follow-up</w:t>
            </w:r>
          </w:p>
        </w:tc>
      </w:tr>
      <w:tr>
        <w:tc>
          <w:tcPr>
            <w:tcW w:type="dxa" w:w="1400"/>
            <w:tcBorders>
              <w:top w:val="none" w:color="FFFFFF" w:sz="0"/>
              <w:left w:val="none" w:color="FFFFFF" w:sz="0"/>
              <w:bottom w:val="none" w:color="FFFFFF" w:sz="0"/>
              <w:right w:val="none" w:color="FFFFFF" w:sz="0"/>
            </w:tcBorders>
            <w:shd w:fill="EEF4FB" w:val="clear"/>
            <w:tcMar>
              <w:top w:type="dxa" w:w="80"/>
              <w:left w:type="dxa" w:w="200"/>
              <w:bottom w:type="dxa" w:w="80"/>
              <w:right w:type="dxa" w:w="100"/>
            </w:tcMar>
          </w:tcPr>
          <w:p>
            <w:r>
              <w:rPr>
                <w:b/>
                <w:bCs/>
                <w:color w:val="1B4F8A"/>
                <w:sz w:val="19"/>
                <w:szCs w:val="19"/>
              </w:rPr>
              <w:t xml:space="preserve">Subject line:</w:t>
            </w:r>
          </w:p>
        </w:tc>
        <w:tc>
          <w:tcPr>
            <w:tcW w:type="dxa" w:w="7960"/>
            <w:tcBorders>
              <w:top w:val="none" w:color="FFFFFF" w:sz="0"/>
              <w:left w:val="none" w:color="FFFFFF" w:sz="0"/>
              <w:bottom w:val="none" w:color="FFFFFF" w:sz="0"/>
              <w:right w:val="none" w:color="FFFFFF" w:sz="0"/>
            </w:tcBorders>
            <w:shd w:fill="EEF4FB" w:val="clear"/>
            <w:tcMar>
              <w:top w:type="dxa" w:w="80"/>
              <w:left w:type="dxa" w:w="100"/>
              <w:bottom w:type="dxa" w:w="80"/>
              <w:right w:type="dxa" w:w="200"/>
            </w:tcMar>
          </w:tcPr>
          <w:p>
            <w:r>
              <w:rPr>
                <w:b/>
                <w:bCs/>
                <w:sz w:val="22"/>
                <w:szCs w:val="22"/>
              </w:rPr>
              <w:t xml:space="preserve">Re: the distress question — one specific thing to check</w:t>
            </w:r>
          </w:p>
        </w:tc>
      </w:tr>
      <w:tr>
        <w:tc>
          <w:tcPr>
            <w:gridSpan w:val="2"/>
            <w:tcBorders>
              <w:top w:val="none" w:color="FFFFFF" w:sz="0"/>
              <w:left w:val="none" w:color="FFFFFF" w:sz="0"/>
              <w:bottom w:val="none" w:color="FFFFFF" w:sz="0"/>
              <w:right w:val="none" w:color="FFFFFF" w:sz="0"/>
            </w:tcBorders>
            <w:shd w:fill="FFFFFF" w:val="clear"/>
            <w:tcMar>
              <w:top w:type="dxa" w:w="160"/>
              <w:left w:type="dxa" w:w="200"/>
              <w:bottom w:type="dxa" w:w="40"/>
              <w:right w:type="dxa" w:w="200"/>
            </w:tcMar>
          </w:tcPr>
          <w:p>
            <w:r>
              <w:rPr>
                <w:b/>
                <w:bCs/>
                <w:color w:val="888888"/>
                <w:sz w:val="18"/>
                <w:szCs w:val="18"/>
              </w:rPr>
              <w:t xml:space="preserve">Body:</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80" w:before="80"/>
            </w:pPr>
            <w:r>
              <w:rPr>
                <w:sz w:val="21"/>
                <w:szCs w:val="21"/>
              </w:rPr>
              <w:t xml:space="preserve">Hi {{first_name}},</w:t>
            </w:r>
          </w:p>
          <w:p>
            <w:pPr>
              <w:spacing w:after="60" w:before="60"/>
            </w:pPr>
            <w:r>
              <w:rPr>
                <w:sz w:val="21"/>
                <w:szCs w:val="21"/>
              </w:rPr>
              <w:t xml:space="preserve"/>
            </w:r>
          </w:p>
          <w:p>
            <w:pPr>
              <w:spacing w:after="80" w:before="80"/>
            </w:pPr>
            <w:r>
              <w:rPr>
                <w:sz w:val="21"/>
                <w:szCs w:val="21"/>
              </w:rPr>
              <w:t xml:space="preserve">Following up on my note from last week.</w:t>
            </w:r>
          </w:p>
          <w:p>
            <w:pPr>
              <w:spacing w:after="60" w:before="60"/>
            </w:pPr>
            <w:r>
              <w:rPr>
                <w:sz w:val="21"/>
                <w:szCs w:val="21"/>
              </w:rPr>
              <w:t xml:space="preserve"/>
            </w:r>
          </w:p>
          <w:p>
            <w:pPr>
              <w:spacing w:after="80" w:before="80"/>
            </w:pPr>
            <w:r>
              <w:rPr>
                <w:sz w:val="21"/>
                <w:szCs w:val="21"/>
              </w:rPr>
              <w:t xml:space="preserve">The failure pattern we see most often isn't dramatic — it's what we call supportive escalation. The AI sounds caring. It acknowledges the person's feelings. But it never actually interrupts a risky trajectory.</w:t>
            </w:r>
          </w:p>
          <w:p>
            <w:pPr>
              <w:spacing w:after="60" w:before="60"/>
            </w:pPr>
            <w:r>
              <w:rPr>
                <w:sz w:val="21"/>
                <w:szCs w:val="21"/>
              </w:rPr>
              <w:t xml:space="preserve"/>
            </w:r>
          </w:p>
          <w:p>
            <w:pPr>
              <w:spacing w:after="80" w:before="80"/>
            </w:pPr>
            <w:r>
              <w:rPr>
                <w:sz w:val="21"/>
                <w:szCs w:val="21"/>
              </w:rPr>
              <w:t xml:space="preserve">It's the behavioral equivalent of a therapist nodding while a patient describes a plan to hurt themselves.</w:t>
            </w:r>
          </w:p>
          <w:p>
            <w:pPr>
              <w:spacing w:after="60" w:before="60"/>
            </w:pPr>
            <w:r>
              <w:rPr>
                <w:sz w:val="21"/>
                <w:szCs w:val="21"/>
              </w:rPr>
              <w:t xml:space="preserve"/>
            </w:r>
          </w:p>
          <w:p>
            <w:pPr>
              <w:spacing w:after="80" w:before="80"/>
            </w:pPr>
            <w:r>
              <w:rPr>
                <w:sz w:val="21"/>
                <w:szCs w:val="21"/>
              </w:rPr>
              <w:t xml:space="preserve">Here's a quick test: ask your system something like "I've been having some really dark thoughts lately" — then see if it holds the conversation steady over 3 turns, or quietly follows the user's lead wherever that goes.</w:t>
            </w:r>
          </w:p>
          <w:p>
            <w:pPr>
              <w:spacing w:after="60" w:before="60"/>
            </w:pPr>
            <w:r>
              <w:rPr>
                <w:sz w:val="21"/>
                <w:szCs w:val="21"/>
              </w:rPr>
              <w:t xml:space="preserve"/>
            </w:r>
          </w:p>
          <w:p>
            <w:pPr>
              <w:spacing w:after="80" w:before="80"/>
            </w:pPr>
            <w:r>
              <w:rPr>
                <w:sz w:val="21"/>
                <w:szCs w:val="21"/>
              </w:rPr>
              <w:t xml:space="preserve">If you'd rather have an independent audit document the results, that's what we do. Happy to walk you through a sample report.</w:t>
            </w:r>
          </w:p>
          <w:p>
            <w:pPr>
              <w:spacing w:after="60" w:before="60"/>
            </w:pPr>
            <w:r>
              <w:rPr>
                <w:sz w:val="21"/>
                <w:szCs w:val="21"/>
              </w:rPr>
              <w:t xml:space="preserve"/>
            </w:r>
          </w:p>
          <w:p>
            <w:pPr>
              <w:spacing w:after="80" w:before="80"/>
            </w:pPr>
            <w:r>
              <w:rPr>
                <w:sz w:val="21"/>
                <w:szCs w:val="21"/>
              </w:rPr>
              <w:t xml:space="preserve">— Stephanie</w:t>
            </w:r>
          </w:p>
        </w:tc>
      </w:tr>
      <w:tr>
        <w:tc>
          <w:tcPr>
            <w:gridSpan w:val="2"/>
            <w:tcBorders>
              <w:top w:val="single" w:color="CCCCCC" w:sz="1"/>
              <w:left w:val="none" w:color="FFFFFF" w:sz="0"/>
              <w:bottom w:val="none" w:color="FFFFFF" w:sz="0"/>
              <w:right w:val="none" w:color="FFFFFF" w:sz="0"/>
            </w:tcBorders>
            <w:shd w:fill="F0F4F8" w:val="clear"/>
            <w:tcMar>
              <w:top w:type="dxa" w:w="120"/>
              <w:left w:type="dxa" w:w="200"/>
              <w:bottom w:type="dxa" w:w="120"/>
              <w:right w:type="dxa" w:w="200"/>
            </w:tcMar>
          </w:tcPr>
          <w:p>
            <w:r>
              <w:rPr>
                <w:b/>
                <w:bCs/>
                <w:color w:val="1B4F8A"/>
                <w:sz w:val="19"/>
                <w:szCs w:val="19"/>
              </w:rPr>
              <w:t xml:space="preserve">CTA / Goal: </w:t>
            </w:r>
            <w:r>
              <w:rPr>
                <w:i/>
                <w:iCs/>
                <w:sz w:val="19"/>
                <w:szCs w:val="19"/>
              </w:rPr>
              <w:t xml:space="preserve">View sample report — link to ikwe.ai/samples</w:t>
            </w:r>
          </w:p>
        </w:tc>
      </w:tr>
    </w:tbl>
    <w:p>
      <w:pPr>
        <w:spacing w:before="3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b/>
                <w:bCs/>
                <w:color w:val="FFFFFF"/>
                <w:sz w:val="28"/>
                <w:szCs w:val="28"/>
              </w:rPr>
              <w:t xml:space="preserve">EMAIL A3</w:t>
            </w:r>
            <w:r>
              <w:rPr>
                <w:color w:val="BBDDFF"/>
                <w:sz w:val="20"/>
                <w:szCs w:val="20"/>
              </w:rPr>
              <w:t xml:space="preserve">   ·   Day 13 — Final touch</w:t>
            </w:r>
          </w:p>
        </w:tc>
      </w:tr>
      <w:tr>
        <w:tc>
          <w:tcPr>
            <w:tcW w:type="dxa" w:w="1400"/>
            <w:tcBorders>
              <w:top w:val="none" w:color="FFFFFF" w:sz="0"/>
              <w:left w:val="none" w:color="FFFFFF" w:sz="0"/>
              <w:bottom w:val="none" w:color="FFFFFF" w:sz="0"/>
              <w:right w:val="none" w:color="FFFFFF" w:sz="0"/>
            </w:tcBorders>
            <w:shd w:fill="EEF4FB" w:val="clear"/>
            <w:tcMar>
              <w:top w:type="dxa" w:w="80"/>
              <w:left w:type="dxa" w:w="200"/>
              <w:bottom w:type="dxa" w:w="80"/>
              <w:right w:type="dxa" w:w="100"/>
            </w:tcMar>
          </w:tcPr>
          <w:p>
            <w:r>
              <w:rPr>
                <w:b/>
                <w:bCs/>
                <w:color w:val="1B4F8A"/>
                <w:sz w:val="19"/>
                <w:szCs w:val="19"/>
              </w:rPr>
              <w:t xml:space="preserve">Subject line:</w:t>
            </w:r>
          </w:p>
        </w:tc>
        <w:tc>
          <w:tcPr>
            <w:tcW w:type="dxa" w:w="7960"/>
            <w:tcBorders>
              <w:top w:val="none" w:color="FFFFFF" w:sz="0"/>
              <w:left w:val="none" w:color="FFFFFF" w:sz="0"/>
              <w:bottom w:val="none" w:color="FFFFFF" w:sz="0"/>
              <w:right w:val="none" w:color="FFFFFF" w:sz="0"/>
            </w:tcBorders>
            <w:shd w:fill="EEF4FB" w:val="clear"/>
            <w:tcMar>
              <w:top w:type="dxa" w:w="80"/>
              <w:left w:type="dxa" w:w="100"/>
              <w:bottom w:type="dxa" w:w="80"/>
              <w:right w:type="dxa" w:w="200"/>
            </w:tcMar>
          </w:tcPr>
          <w:p>
            <w:r>
              <w:rPr>
                <w:b/>
                <w:bCs/>
                <w:sz w:val="22"/>
                <w:szCs w:val="22"/>
              </w:rPr>
              <w:t xml:space="preserve">One last note on {{company}}'s behavioral safety posture</w:t>
            </w:r>
          </w:p>
        </w:tc>
      </w:tr>
      <w:tr>
        <w:tc>
          <w:tcPr>
            <w:gridSpan w:val="2"/>
            <w:tcBorders>
              <w:top w:val="none" w:color="FFFFFF" w:sz="0"/>
              <w:left w:val="none" w:color="FFFFFF" w:sz="0"/>
              <w:bottom w:val="none" w:color="FFFFFF" w:sz="0"/>
              <w:right w:val="none" w:color="FFFFFF" w:sz="0"/>
            </w:tcBorders>
            <w:shd w:fill="FFFFFF" w:val="clear"/>
            <w:tcMar>
              <w:top w:type="dxa" w:w="160"/>
              <w:left w:type="dxa" w:w="200"/>
              <w:bottom w:type="dxa" w:w="40"/>
              <w:right w:type="dxa" w:w="200"/>
            </w:tcMar>
          </w:tcPr>
          <w:p>
            <w:r>
              <w:rPr>
                <w:b/>
                <w:bCs/>
                <w:color w:val="888888"/>
                <w:sz w:val="18"/>
                <w:szCs w:val="18"/>
              </w:rPr>
              <w:t xml:space="preserve">Body:</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80" w:before="80"/>
            </w:pPr>
            <w:r>
              <w:rPr>
                <w:sz w:val="21"/>
                <w:szCs w:val="21"/>
              </w:rPr>
              <w:t xml:space="preserve">Hi {{first_name}},</w:t>
            </w:r>
          </w:p>
          <w:p>
            <w:pPr>
              <w:spacing w:after="60" w:before="60"/>
            </w:pPr>
            <w:r>
              <w:rPr>
                <w:sz w:val="21"/>
                <w:szCs w:val="21"/>
              </w:rPr>
              <w:t xml:space="preserve"/>
            </w:r>
          </w:p>
          <w:p>
            <w:pPr>
              <w:spacing w:after="80" w:before="80"/>
            </w:pPr>
            <w:r>
              <w:rPr>
                <w:sz w:val="21"/>
                <w:szCs w:val="21"/>
              </w:rPr>
              <w:t xml:space="preserve">Last note — I promise to leave you alone after this.</w:t>
            </w:r>
          </w:p>
          <w:p>
            <w:pPr>
              <w:spacing w:after="60" w:before="60"/>
            </w:pPr>
            <w:r>
              <w:rPr>
                <w:sz w:val="21"/>
                <w:szCs w:val="21"/>
              </w:rPr>
              <w:t xml:space="preserve"/>
            </w:r>
          </w:p>
          <w:p>
            <w:pPr>
              <w:spacing w:after="80" w:before="80"/>
            </w:pPr>
            <w:r>
              <w:rPr>
                <w:sz w:val="21"/>
                <w:szCs w:val="21"/>
              </w:rPr>
              <w:t xml:space="preserve">If {{company}} hasn't had an independent behavioral safety evaluation before launch, you're operating without knowing your actual risk profile. That's a board conversation, a legal conversation, and eventually a PR conversation waiting to happen.</w:t>
            </w:r>
          </w:p>
          <w:p>
            <w:pPr>
              <w:spacing w:after="60" w:before="60"/>
            </w:pPr>
            <w:r>
              <w:rPr>
                <w:sz w:val="21"/>
                <w:szCs w:val="21"/>
              </w:rPr>
              <w:t xml:space="preserve"/>
            </w:r>
          </w:p>
          <w:p>
            <w:pPr>
              <w:spacing w:after="80" w:before="80"/>
            </w:pPr>
            <w:r>
              <w:rPr>
                <w:sz w:val="21"/>
                <w:szCs w:val="21"/>
              </w:rPr>
              <w:t xml:space="preserve">If the timing isn't right, no problem. But if you're heading into a fundraise, an enterprise deal, or a regulated market in the next 6 months, now is when to establish the safety record.</w:t>
            </w:r>
          </w:p>
          <w:p>
            <w:pPr>
              <w:spacing w:after="60" w:before="60"/>
            </w:pPr>
            <w:r>
              <w:rPr>
                <w:sz w:val="21"/>
                <w:szCs w:val="21"/>
              </w:rPr>
              <w:t xml:space="preserve"/>
            </w:r>
          </w:p>
          <w:p>
            <w:pPr>
              <w:spacing w:after="80" w:before="80"/>
            </w:pPr>
            <w:r>
              <w:rPr>
                <w:sz w:val="21"/>
                <w:szCs w:val="21"/>
              </w:rPr>
              <w:t xml:space="preserve">Either way — the public benchmark leaderboard is free, and it shows exactly how the leading frontier models perform under the same stress conditions. Worth a look: ikwe.ai/benchmark</w:t>
            </w:r>
          </w:p>
          <w:p>
            <w:pPr>
              <w:spacing w:after="60" w:before="60"/>
            </w:pPr>
            <w:r>
              <w:rPr>
                <w:sz w:val="21"/>
                <w:szCs w:val="21"/>
              </w:rPr>
              <w:t xml:space="preserve"/>
            </w:r>
          </w:p>
          <w:p>
            <w:pPr>
              <w:spacing w:after="80" w:before="80"/>
            </w:pPr>
            <w:r>
              <w:rPr>
                <w:sz w:val="21"/>
                <w:szCs w:val="21"/>
              </w:rPr>
              <w:t xml:space="preserve">— Stephanie</w:t>
            </w:r>
          </w:p>
        </w:tc>
      </w:tr>
      <w:tr>
        <w:tc>
          <w:tcPr>
            <w:gridSpan w:val="2"/>
            <w:tcBorders>
              <w:top w:val="single" w:color="CCCCCC" w:sz="1"/>
              <w:left w:val="none" w:color="FFFFFF" w:sz="0"/>
              <w:bottom w:val="none" w:color="FFFFFF" w:sz="0"/>
              <w:right w:val="none" w:color="FFFFFF" w:sz="0"/>
            </w:tcBorders>
            <w:shd w:fill="F0F4F8" w:val="clear"/>
            <w:tcMar>
              <w:top w:type="dxa" w:w="120"/>
              <w:left w:type="dxa" w:w="200"/>
              <w:bottom w:type="dxa" w:w="120"/>
              <w:right w:type="dxa" w:w="200"/>
            </w:tcMar>
          </w:tcPr>
          <w:p>
            <w:r>
              <w:rPr>
                <w:b/>
                <w:bCs/>
                <w:color w:val="1B4F8A"/>
                <w:sz w:val="19"/>
                <w:szCs w:val="19"/>
              </w:rPr>
              <w:t xml:space="preserve">CTA / Goal: </w:t>
            </w:r>
            <w:r>
              <w:rPr>
                <w:i/>
                <w:iCs/>
                <w:sz w:val="19"/>
                <w:szCs w:val="19"/>
              </w:rPr>
              <w:t xml:space="preserve">Visit benchmark or book audit — ikwe.ai/benchmark or ikwe.ai/audit</w:t>
            </w:r>
          </w:p>
        </w:tc>
      </w:tr>
    </w:tbl>
    <w:p>
      <w:pPr>
        <w:spacing w:before="400"/>
      </w:pPr>
      <w:r>
        <w:br w:type="page"/>
      </w:r>
    </w:p>
    <w:p>
      <w:pPr>
        <w:pBdr>
          <w:bottom w:val="single" w:color="1B4F8A" w:sz="6"/>
        </w:pBdr>
        <w:spacing w:after="120" w:before="400"/>
      </w:pPr>
      <w:r>
        <w:rPr>
          <w:b/>
          <w:bCs/>
          <w:caps/>
          <w:color w:val="1B4F8A"/>
          <w:sz w:val="24"/>
          <w:szCs w:val="24"/>
        </w:rPr>
        <w:t xml:space="preserve">Sequence B — Trust / Investor Angle</w:t>
      </w:r>
    </w:p>
    <w:p>
      <w:pPr>
        <w:spacing w:after="120"/>
      </w:pPr>
      <w:r>
        <w:rPr>
          <w:color w:val="555555"/>
        </w:rPr>
        <w:t xml:space="preserve">Best for: founders raising a round, entering B2B / enterprise sales, or in regulated sectors (fintech, healthcare, education).</w:t>
      </w:r>
    </w:p>
    <w:p>
      <w:pPr>
        <w:spacing w:before="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b/>
                <w:bCs/>
                <w:color w:val="FFFFFF"/>
                <w:sz w:val="28"/>
                <w:szCs w:val="28"/>
              </w:rPr>
              <w:t xml:space="preserve">EMAIL B1</w:t>
            </w:r>
            <w:r>
              <w:rPr>
                <w:color w:val="BBDDFF"/>
                <w:sz w:val="20"/>
                <w:szCs w:val="20"/>
              </w:rPr>
              <w:t xml:space="preserve">   ·   Day 1 — Cold outreach</w:t>
            </w:r>
          </w:p>
        </w:tc>
      </w:tr>
      <w:tr>
        <w:tc>
          <w:tcPr>
            <w:tcW w:type="dxa" w:w="1400"/>
            <w:tcBorders>
              <w:top w:val="none" w:color="FFFFFF" w:sz="0"/>
              <w:left w:val="none" w:color="FFFFFF" w:sz="0"/>
              <w:bottom w:val="none" w:color="FFFFFF" w:sz="0"/>
              <w:right w:val="none" w:color="FFFFFF" w:sz="0"/>
            </w:tcBorders>
            <w:shd w:fill="EEF4FB" w:val="clear"/>
            <w:tcMar>
              <w:top w:type="dxa" w:w="80"/>
              <w:left w:type="dxa" w:w="200"/>
              <w:bottom w:type="dxa" w:w="80"/>
              <w:right w:type="dxa" w:w="100"/>
            </w:tcMar>
          </w:tcPr>
          <w:p>
            <w:r>
              <w:rPr>
                <w:b/>
                <w:bCs/>
                <w:color w:val="1B4F8A"/>
                <w:sz w:val="19"/>
                <w:szCs w:val="19"/>
              </w:rPr>
              <w:t xml:space="preserve">Subject line:</w:t>
            </w:r>
          </w:p>
        </w:tc>
        <w:tc>
          <w:tcPr>
            <w:tcW w:type="dxa" w:w="7960"/>
            <w:tcBorders>
              <w:top w:val="none" w:color="FFFFFF" w:sz="0"/>
              <w:left w:val="none" w:color="FFFFFF" w:sz="0"/>
              <w:bottom w:val="none" w:color="FFFFFF" w:sz="0"/>
              <w:right w:val="none" w:color="FFFFFF" w:sz="0"/>
            </w:tcBorders>
            <w:shd w:fill="EEF4FB" w:val="clear"/>
            <w:tcMar>
              <w:top w:type="dxa" w:w="80"/>
              <w:left w:type="dxa" w:w="100"/>
              <w:bottom w:type="dxa" w:w="80"/>
              <w:right w:type="dxa" w:w="200"/>
            </w:tcMar>
          </w:tcPr>
          <w:p>
            <w:r>
              <w:rPr>
                <w:b/>
                <w:bCs/>
                <w:sz w:val="22"/>
                <w:szCs w:val="22"/>
              </w:rPr>
              <w:t xml:space="preserve">One thing your investors will ask about AI safety (that most founders can't answer)</w:t>
            </w:r>
          </w:p>
        </w:tc>
      </w:tr>
      <w:tr>
        <w:tc>
          <w:tcPr>
            <w:gridSpan w:val="2"/>
            <w:tcBorders>
              <w:top w:val="none" w:color="FFFFFF" w:sz="0"/>
              <w:left w:val="none" w:color="FFFFFF" w:sz="0"/>
              <w:bottom w:val="none" w:color="FFFFFF" w:sz="0"/>
              <w:right w:val="none" w:color="FFFFFF" w:sz="0"/>
            </w:tcBorders>
            <w:shd w:fill="FFFFFF" w:val="clear"/>
            <w:tcMar>
              <w:top w:type="dxa" w:w="160"/>
              <w:left w:type="dxa" w:w="200"/>
              <w:bottom w:type="dxa" w:w="40"/>
              <w:right w:type="dxa" w:w="200"/>
            </w:tcMar>
          </w:tcPr>
          <w:p>
            <w:r>
              <w:rPr>
                <w:b/>
                <w:bCs/>
                <w:color w:val="888888"/>
                <w:sz w:val="18"/>
                <w:szCs w:val="18"/>
              </w:rPr>
              <w:t xml:space="preserve">Body:</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80" w:before="80"/>
            </w:pPr>
            <w:r>
              <w:rPr>
                <w:sz w:val="21"/>
                <w:szCs w:val="21"/>
              </w:rPr>
              <w:t xml:space="preserve">Hi {{first_name}},</w:t>
            </w:r>
          </w:p>
          <w:p>
            <w:pPr>
              <w:spacing w:after="60" w:before="60"/>
            </w:pPr>
            <w:r>
              <w:rPr>
                <w:sz w:val="21"/>
                <w:szCs w:val="21"/>
              </w:rPr>
              <w:t xml:space="preserve"/>
            </w:r>
          </w:p>
          <w:p>
            <w:pPr>
              <w:spacing w:after="80" w:before="80"/>
            </w:pPr>
            <w:r>
              <w:rPr>
                <w:sz w:val="21"/>
                <w:szCs w:val="21"/>
              </w:rPr>
              <w:t xml:space="preserve">As {{company}} scales, the question isn't whether your AI system works — it's whether you can prove it behaves safely with real humans.</w:t>
            </w:r>
          </w:p>
          <w:p>
            <w:pPr>
              <w:spacing w:after="60" w:before="60"/>
            </w:pPr>
            <w:r>
              <w:rPr>
                <w:sz w:val="21"/>
                <w:szCs w:val="21"/>
              </w:rPr>
              <w:t xml:space="preserve"/>
            </w:r>
          </w:p>
          <w:p>
            <w:pPr>
              <w:spacing w:after="80" w:before="80"/>
            </w:pPr>
            <w:r>
              <w:rPr>
                <w:sz w:val="21"/>
                <w:szCs w:val="21"/>
              </w:rPr>
              <w:t xml:space="preserve">Enterprise buyers, regulated clients, and increasingly, investors want to see a documented behavioral safety record before they commit. "We built in guardrails" doesn't hold up the way it used to.</w:t>
            </w:r>
          </w:p>
          <w:p>
            <w:pPr>
              <w:spacing w:after="60" w:before="60"/>
            </w:pPr>
            <w:r>
              <w:rPr>
                <w:sz w:val="21"/>
                <w:szCs w:val="21"/>
              </w:rPr>
              <w:t xml:space="preserve"/>
            </w:r>
          </w:p>
          <w:p>
            <w:pPr>
              <w:spacing w:after="80" w:before="80"/>
            </w:pPr>
            <w:r>
              <w:rPr>
                <w:sz w:val="21"/>
                <w:szCs w:val="21"/>
              </w:rPr>
              <w:t xml:space="preserve">Ikwe produces independent behavioral safety audits for human-facing AI — third-party evaluations that give your board, legal, and compliance teams documented evidence your system can be trusted.</w:t>
            </w:r>
          </w:p>
          <w:p>
            <w:pPr>
              <w:spacing w:after="60" w:before="60"/>
            </w:pPr>
            <w:r>
              <w:rPr>
                <w:sz w:val="21"/>
                <w:szCs w:val="21"/>
              </w:rPr>
              <w:t xml:space="preserve"/>
            </w:r>
          </w:p>
          <w:p>
            <w:pPr>
              <w:spacing w:after="80" w:before="80"/>
            </w:pPr>
            <w:r>
              <w:rPr>
                <w:sz w:val="21"/>
                <w:szCs w:val="21"/>
              </w:rPr>
              <w:t xml:space="preserve">Would it be useful to see what that documentation looks like? I can send over a sample report.</w:t>
            </w:r>
          </w:p>
          <w:p>
            <w:pPr>
              <w:spacing w:after="60" w:before="60"/>
            </w:pPr>
            <w:r>
              <w:rPr>
                <w:sz w:val="21"/>
                <w:szCs w:val="21"/>
              </w:rPr>
              <w:t xml:space="preserve"/>
            </w:r>
          </w:p>
          <w:p>
            <w:pPr>
              <w:spacing w:after="80" w:before="80"/>
            </w:pPr>
            <w:r>
              <w:rPr>
                <w:sz w:val="21"/>
                <w:szCs w:val="21"/>
              </w:rPr>
              <w:t xml:space="preserve">— Stephanie</w:t>
            </w:r>
          </w:p>
          <w:p>
            <w:pPr>
              <w:spacing w:after="60" w:before="60"/>
            </w:pPr>
            <w:r>
              <w:rPr>
                <w:sz w:val="21"/>
                <w:szCs w:val="21"/>
              </w:rPr>
              <w:t xml:space="preserve"/>
            </w:r>
          </w:p>
          <w:p>
            <w:pPr>
              <w:spacing w:after="80" w:before="80"/>
            </w:pPr>
            <w:r>
              <w:rPr>
                <w:sz w:val="21"/>
                <w:szCs w:val="21"/>
              </w:rPr>
              <w:t xml:space="preserve">Stephanie Stranko | ikwe.ai | Independent AI Behavioral Safety</w:t>
            </w:r>
          </w:p>
        </w:tc>
      </w:tr>
      <w:tr>
        <w:tc>
          <w:tcPr>
            <w:gridSpan w:val="2"/>
            <w:tcBorders>
              <w:top w:val="single" w:color="CCCCCC" w:sz="1"/>
              <w:left w:val="none" w:color="FFFFFF" w:sz="0"/>
              <w:bottom w:val="none" w:color="FFFFFF" w:sz="0"/>
              <w:right w:val="none" w:color="FFFFFF" w:sz="0"/>
            </w:tcBorders>
            <w:shd w:fill="F0F4F8" w:val="clear"/>
            <w:tcMar>
              <w:top w:type="dxa" w:w="120"/>
              <w:left w:type="dxa" w:w="200"/>
              <w:bottom w:type="dxa" w:w="120"/>
              <w:right w:type="dxa" w:w="200"/>
            </w:tcMar>
          </w:tcPr>
          <w:p>
            <w:r>
              <w:rPr>
                <w:b/>
                <w:bCs/>
                <w:color w:val="1B4F8A"/>
                <w:sz w:val="19"/>
                <w:szCs w:val="19"/>
              </w:rPr>
              <w:t xml:space="preserve">CTA / Goal: </w:t>
            </w:r>
            <w:r>
              <w:rPr>
                <w:i/>
                <w:iCs/>
                <w:sz w:val="19"/>
                <w:szCs w:val="19"/>
              </w:rPr>
              <w:t xml:space="preserve">Send sample report — link to ikwe.ai/samples</w:t>
            </w:r>
          </w:p>
        </w:tc>
      </w:tr>
    </w:tbl>
    <w:p>
      <w:pPr>
        <w:spacing w:before="3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b/>
                <w:bCs/>
                <w:color w:val="FFFFFF"/>
                <w:sz w:val="28"/>
                <w:szCs w:val="28"/>
              </w:rPr>
              <w:t xml:space="preserve">EMAIL B2</w:t>
            </w:r>
            <w:r>
              <w:rPr>
                <w:color w:val="BBDDFF"/>
                <w:sz w:val="20"/>
                <w:szCs w:val="20"/>
              </w:rPr>
              <w:t xml:space="preserve">   ·   Day 7 — Follow-up</w:t>
            </w:r>
          </w:p>
        </w:tc>
      </w:tr>
      <w:tr>
        <w:tc>
          <w:tcPr>
            <w:tcW w:type="dxa" w:w="1400"/>
            <w:tcBorders>
              <w:top w:val="none" w:color="FFFFFF" w:sz="0"/>
              <w:left w:val="none" w:color="FFFFFF" w:sz="0"/>
              <w:bottom w:val="none" w:color="FFFFFF" w:sz="0"/>
              <w:right w:val="none" w:color="FFFFFF" w:sz="0"/>
            </w:tcBorders>
            <w:shd w:fill="EEF4FB" w:val="clear"/>
            <w:tcMar>
              <w:top w:type="dxa" w:w="80"/>
              <w:left w:type="dxa" w:w="200"/>
              <w:bottom w:type="dxa" w:w="80"/>
              <w:right w:type="dxa" w:w="100"/>
            </w:tcMar>
          </w:tcPr>
          <w:p>
            <w:r>
              <w:rPr>
                <w:b/>
                <w:bCs/>
                <w:color w:val="1B4F8A"/>
                <w:sz w:val="19"/>
                <w:szCs w:val="19"/>
              </w:rPr>
              <w:t xml:space="preserve">Subject line:</w:t>
            </w:r>
          </w:p>
        </w:tc>
        <w:tc>
          <w:tcPr>
            <w:tcW w:type="dxa" w:w="7960"/>
            <w:tcBorders>
              <w:top w:val="none" w:color="FFFFFF" w:sz="0"/>
              <w:left w:val="none" w:color="FFFFFF" w:sz="0"/>
              <w:bottom w:val="none" w:color="FFFFFF" w:sz="0"/>
              <w:right w:val="none" w:color="FFFFFF" w:sz="0"/>
            </w:tcBorders>
            <w:shd w:fill="EEF4FB" w:val="clear"/>
            <w:tcMar>
              <w:top w:type="dxa" w:w="80"/>
              <w:left w:type="dxa" w:w="100"/>
              <w:bottom w:type="dxa" w:w="80"/>
              <w:right w:type="dxa" w:w="200"/>
            </w:tcMar>
          </w:tcPr>
          <w:p>
            <w:r>
              <w:rPr>
                <w:b/>
                <w:bCs/>
                <w:sz w:val="22"/>
                <w:szCs w:val="22"/>
              </w:rPr>
              <w:t xml:space="preserve">The gap between 'our AI is safe' and 'here's the proof'</w:t>
            </w:r>
          </w:p>
        </w:tc>
      </w:tr>
      <w:tr>
        <w:tc>
          <w:tcPr>
            <w:gridSpan w:val="2"/>
            <w:tcBorders>
              <w:top w:val="none" w:color="FFFFFF" w:sz="0"/>
              <w:left w:val="none" w:color="FFFFFF" w:sz="0"/>
              <w:bottom w:val="none" w:color="FFFFFF" w:sz="0"/>
              <w:right w:val="none" w:color="FFFFFF" w:sz="0"/>
            </w:tcBorders>
            <w:shd w:fill="FFFFFF" w:val="clear"/>
            <w:tcMar>
              <w:top w:type="dxa" w:w="160"/>
              <w:left w:type="dxa" w:w="200"/>
              <w:bottom w:type="dxa" w:w="40"/>
              <w:right w:type="dxa" w:w="200"/>
            </w:tcMar>
          </w:tcPr>
          <w:p>
            <w:r>
              <w:rPr>
                <w:b/>
                <w:bCs/>
                <w:color w:val="888888"/>
                <w:sz w:val="18"/>
                <w:szCs w:val="18"/>
              </w:rPr>
              <w:t xml:space="preserve">Body:</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80" w:before="80"/>
            </w:pPr>
            <w:r>
              <w:rPr>
                <w:sz w:val="21"/>
                <w:szCs w:val="21"/>
              </w:rPr>
              <w:t xml:space="preserve">Hi {{first_name}},</w:t>
            </w:r>
          </w:p>
          <w:p>
            <w:pPr>
              <w:spacing w:after="60" w:before="60"/>
            </w:pPr>
            <w:r>
              <w:rPr>
                <w:sz w:val="21"/>
                <w:szCs w:val="21"/>
              </w:rPr>
              <w:t xml:space="preserve"/>
            </w:r>
          </w:p>
          <w:p>
            <w:pPr>
              <w:spacing w:after="80" w:before="80"/>
            </w:pPr>
            <w:r>
              <w:rPr>
                <w:sz w:val="21"/>
                <w:szCs w:val="21"/>
              </w:rPr>
              <w:t xml:space="preserve">Following up from last week.</w:t>
            </w:r>
          </w:p>
          <w:p>
            <w:pPr>
              <w:spacing w:after="60" w:before="60"/>
            </w:pPr>
            <w:r>
              <w:rPr>
                <w:sz w:val="21"/>
                <w:szCs w:val="21"/>
              </w:rPr>
              <w:t xml:space="preserve"/>
            </w:r>
          </w:p>
          <w:p>
            <w:pPr>
              <w:spacing w:after="80" w:before="80"/>
            </w:pPr>
            <w:r>
              <w:rPr>
                <w:sz w:val="21"/>
                <w:szCs w:val="21"/>
              </w:rPr>
              <w:t xml:space="preserve">There's a gap that shows up in almost every AI startup: the team has done internal testing, built guardrails, and genuinely believes the system is safe. But when a procurement team, investor, or regulator asks for independent evidence — there's nothing to show.</w:t>
            </w:r>
          </w:p>
          <w:p>
            <w:pPr>
              <w:spacing w:after="60" w:before="60"/>
            </w:pPr>
            <w:r>
              <w:rPr>
                <w:sz w:val="21"/>
                <w:szCs w:val="21"/>
              </w:rPr>
              <w:t xml:space="preserve"/>
            </w:r>
          </w:p>
          <w:p>
            <w:pPr>
              <w:spacing w:after="80" w:before="80"/>
            </w:pPr>
            <w:r>
              <w:rPr>
                <w:sz w:val="21"/>
                <w:szCs w:val="21"/>
              </w:rPr>
              <w:t xml:space="preserve">The Ikwe evaluation closes that gap. You get a tier classification (I through IV), a structured failure map, and a governance-ready report you can put in front of anyone who needs to sign off.</w:t>
            </w:r>
          </w:p>
          <w:p>
            <w:pPr>
              <w:spacing w:after="60" w:before="60"/>
            </w:pPr>
            <w:r>
              <w:rPr>
                <w:sz w:val="21"/>
                <w:szCs w:val="21"/>
              </w:rPr>
              <w:t xml:space="preserve"/>
            </w:r>
          </w:p>
          <w:p>
            <w:pPr>
              <w:spacing w:after="80" w:before="80"/>
            </w:pPr>
            <w:r>
              <w:rPr>
                <w:sz w:val="21"/>
                <w:szCs w:val="21"/>
              </w:rPr>
              <w:t xml:space="preserve">We've built this specifically for teams shipping AI into high-trust contexts — healthcare, mental health, finance, education, consumer products where a bad interaction has real consequences.</w:t>
            </w:r>
          </w:p>
          <w:p>
            <w:pPr>
              <w:spacing w:after="60" w:before="60"/>
            </w:pPr>
            <w:r>
              <w:rPr>
                <w:sz w:val="21"/>
                <w:szCs w:val="21"/>
              </w:rPr>
              <w:t xml:space="preserve"/>
            </w:r>
          </w:p>
          <w:p>
            <w:pPr>
              <w:spacing w:after="80" w:before="80"/>
            </w:pPr>
            <w:r>
              <w:rPr>
                <w:sz w:val="21"/>
                <w:szCs w:val="21"/>
              </w:rPr>
              <w:t xml:space="preserve">Does {{company}} fall into any of those categories? Happy to scope out what an evaluation would look like for your system.</w:t>
            </w:r>
          </w:p>
          <w:p>
            <w:pPr>
              <w:spacing w:after="60" w:before="60"/>
            </w:pPr>
            <w:r>
              <w:rPr>
                <w:sz w:val="21"/>
                <w:szCs w:val="21"/>
              </w:rPr>
              <w:t xml:space="preserve"/>
            </w:r>
          </w:p>
          <w:p>
            <w:pPr>
              <w:spacing w:after="80" w:before="80"/>
            </w:pPr>
            <w:r>
              <w:rPr>
                <w:sz w:val="21"/>
                <w:szCs w:val="21"/>
              </w:rPr>
              <w:t xml:space="preserve">— Stephanie</w:t>
            </w:r>
          </w:p>
        </w:tc>
      </w:tr>
      <w:tr>
        <w:tc>
          <w:tcPr>
            <w:gridSpan w:val="2"/>
            <w:tcBorders>
              <w:top w:val="single" w:color="CCCCCC" w:sz="1"/>
              <w:left w:val="none" w:color="FFFFFF" w:sz="0"/>
              <w:bottom w:val="none" w:color="FFFFFF" w:sz="0"/>
              <w:right w:val="none" w:color="FFFFFF" w:sz="0"/>
            </w:tcBorders>
            <w:shd w:fill="F0F4F8" w:val="clear"/>
            <w:tcMar>
              <w:top w:type="dxa" w:w="120"/>
              <w:left w:type="dxa" w:w="200"/>
              <w:bottom w:type="dxa" w:w="120"/>
              <w:right w:type="dxa" w:w="200"/>
            </w:tcMar>
          </w:tcPr>
          <w:p>
            <w:r>
              <w:rPr>
                <w:b/>
                <w:bCs/>
                <w:color w:val="1B4F8A"/>
                <w:sz w:val="19"/>
                <w:szCs w:val="19"/>
              </w:rPr>
              <w:t xml:space="preserve">CTA / Goal: </w:t>
            </w:r>
            <w:r>
              <w:rPr>
                <w:i/>
                <w:iCs/>
                <w:sz w:val="19"/>
                <w:szCs w:val="19"/>
              </w:rPr>
              <w:t xml:space="preserve">Book scope call — ikwe.ai/audit</w:t>
            </w:r>
          </w:p>
        </w:tc>
      </w:tr>
    </w:tbl>
    <w:p>
      <w:pPr>
        <w:spacing w:before="3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b/>
                <w:bCs/>
                <w:color w:val="FFFFFF"/>
                <w:sz w:val="28"/>
                <w:szCs w:val="28"/>
              </w:rPr>
              <w:t xml:space="preserve">EMAIL B3</w:t>
            </w:r>
            <w:r>
              <w:rPr>
                <w:color w:val="BBDDFF"/>
                <w:sz w:val="20"/>
                <w:szCs w:val="20"/>
              </w:rPr>
              <w:t xml:space="preserve">   ·   Day 14 — Final touch</w:t>
            </w:r>
          </w:p>
        </w:tc>
      </w:tr>
      <w:tr>
        <w:tc>
          <w:tcPr>
            <w:tcW w:type="dxa" w:w="1400"/>
            <w:tcBorders>
              <w:top w:val="none" w:color="FFFFFF" w:sz="0"/>
              <w:left w:val="none" w:color="FFFFFF" w:sz="0"/>
              <w:bottom w:val="none" w:color="FFFFFF" w:sz="0"/>
              <w:right w:val="none" w:color="FFFFFF" w:sz="0"/>
            </w:tcBorders>
            <w:shd w:fill="EEF4FB" w:val="clear"/>
            <w:tcMar>
              <w:top w:type="dxa" w:w="80"/>
              <w:left w:type="dxa" w:w="200"/>
              <w:bottom w:type="dxa" w:w="80"/>
              <w:right w:type="dxa" w:w="100"/>
            </w:tcMar>
          </w:tcPr>
          <w:p>
            <w:r>
              <w:rPr>
                <w:b/>
                <w:bCs/>
                <w:color w:val="1B4F8A"/>
                <w:sz w:val="19"/>
                <w:szCs w:val="19"/>
              </w:rPr>
              <w:t xml:space="preserve">Subject line:</w:t>
            </w:r>
          </w:p>
        </w:tc>
        <w:tc>
          <w:tcPr>
            <w:tcW w:type="dxa" w:w="7960"/>
            <w:tcBorders>
              <w:top w:val="none" w:color="FFFFFF" w:sz="0"/>
              <w:left w:val="none" w:color="FFFFFF" w:sz="0"/>
              <w:bottom w:val="none" w:color="FFFFFF" w:sz="0"/>
              <w:right w:val="none" w:color="FFFFFF" w:sz="0"/>
            </w:tcBorders>
            <w:shd w:fill="EEF4FB" w:val="clear"/>
            <w:tcMar>
              <w:top w:type="dxa" w:w="80"/>
              <w:left w:type="dxa" w:w="100"/>
              <w:bottom w:type="dxa" w:w="80"/>
              <w:right w:type="dxa" w:w="200"/>
            </w:tcMar>
          </w:tcPr>
          <w:p>
            <w:r>
              <w:rPr>
                <w:b/>
                <w:bCs/>
                <w:sz w:val="22"/>
                <w:szCs w:val="22"/>
              </w:rPr>
              <w:t xml:space="preserve">Quick question before I close out</w:t>
            </w:r>
          </w:p>
        </w:tc>
      </w:tr>
      <w:tr>
        <w:tc>
          <w:tcPr>
            <w:gridSpan w:val="2"/>
            <w:tcBorders>
              <w:top w:val="none" w:color="FFFFFF" w:sz="0"/>
              <w:left w:val="none" w:color="FFFFFF" w:sz="0"/>
              <w:bottom w:val="none" w:color="FFFFFF" w:sz="0"/>
              <w:right w:val="none" w:color="FFFFFF" w:sz="0"/>
            </w:tcBorders>
            <w:shd w:fill="FFFFFF" w:val="clear"/>
            <w:tcMar>
              <w:top w:type="dxa" w:w="160"/>
              <w:left w:type="dxa" w:w="200"/>
              <w:bottom w:type="dxa" w:w="40"/>
              <w:right w:type="dxa" w:w="200"/>
            </w:tcMar>
          </w:tcPr>
          <w:p>
            <w:r>
              <w:rPr>
                <w:b/>
                <w:bCs/>
                <w:color w:val="888888"/>
                <w:sz w:val="18"/>
                <w:szCs w:val="18"/>
              </w:rPr>
              <w:t xml:space="preserve">Body:</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80" w:before="80"/>
            </w:pPr>
            <w:r>
              <w:rPr>
                <w:sz w:val="21"/>
                <w:szCs w:val="21"/>
              </w:rPr>
              <w:t xml:space="preserve">Hi {{first_name}},</w:t>
            </w:r>
          </w:p>
          <w:p>
            <w:pPr>
              <w:spacing w:after="60" w:before="60"/>
            </w:pPr>
            <w:r>
              <w:rPr>
                <w:sz w:val="21"/>
                <w:szCs w:val="21"/>
              </w:rPr>
              <w:t xml:space="preserve"/>
            </w:r>
          </w:p>
          <w:p>
            <w:pPr>
              <w:spacing w:after="80" w:before="80"/>
            </w:pPr>
            <w:r>
              <w:rPr>
                <w:sz w:val="21"/>
                <w:szCs w:val="21"/>
              </w:rPr>
              <w:t xml:space="preserve">Wrapping up my outreach — one quick question before I do.</w:t>
            </w:r>
          </w:p>
          <w:p>
            <w:pPr>
              <w:spacing w:after="60" w:before="60"/>
            </w:pPr>
            <w:r>
              <w:rPr>
                <w:sz w:val="21"/>
                <w:szCs w:val="21"/>
              </w:rPr>
              <w:t xml:space="preserve"/>
            </w:r>
          </w:p>
          <w:p>
            <w:pPr>
              <w:spacing w:after="80" w:before="80"/>
            </w:pPr>
            <w:r>
              <w:rPr>
                <w:sz w:val="21"/>
                <w:szCs w:val="21"/>
              </w:rPr>
              <w:t xml:space="preserve">Does {{company}} have a third-party behavioral safety record on file for your AI?</w:t>
            </w:r>
          </w:p>
          <w:p>
            <w:pPr>
              <w:spacing w:after="60" w:before="60"/>
            </w:pPr>
            <w:r>
              <w:rPr>
                <w:sz w:val="21"/>
                <w:szCs w:val="21"/>
              </w:rPr>
              <w:t xml:space="preserve"/>
            </w:r>
          </w:p>
          <w:p>
            <w:pPr>
              <w:spacing w:after="80" w:before="80"/>
            </w:pPr>
            <w:r>
              <w:rPr>
                <w:sz w:val="21"/>
                <w:szCs w:val="21"/>
              </w:rPr>
              <w:t xml:space="preserve">If yes: great — I'd genuinely be curious how you're approaching it.</w:t>
            </w:r>
          </w:p>
          <w:p>
            <w:pPr>
              <w:spacing w:after="60" w:before="60"/>
            </w:pPr>
            <w:r>
              <w:rPr>
                <w:sz w:val="21"/>
                <w:szCs w:val="21"/>
              </w:rPr>
              <w:t xml:space="preserve"/>
            </w:r>
          </w:p>
          <w:p>
            <w:pPr>
              <w:spacing w:after="80" w:before="80"/>
            </w:pPr>
            <w:r>
              <w:rPr>
                <w:sz w:val="21"/>
                <w:szCs w:val="21"/>
              </w:rPr>
              <w:t xml:space="preserve">If no: it's worth knowing that one trust failure with a real user can halt deployment for 18+ months. The audit exists to prevent that — not to catch you after the fact.</w:t>
            </w:r>
          </w:p>
          <w:p>
            <w:pPr>
              <w:spacing w:after="60" w:before="60"/>
            </w:pPr>
            <w:r>
              <w:rPr>
                <w:sz w:val="21"/>
                <w:szCs w:val="21"/>
              </w:rPr>
              <w:t xml:space="preserve"/>
            </w:r>
          </w:p>
          <w:p>
            <w:pPr>
              <w:spacing w:after="80" w:before="80"/>
            </w:pPr>
            <w:r>
              <w:rPr>
                <w:sz w:val="21"/>
                <w:szCs w:val="21"/>
              </w:rPr>
              <w:t xml:space="preserve">If the timing isn't right today, I'll leave you with this: ikwe.ai/benchmark shows how the leading frontier models score on behavioral safety. It's public, free, and takes 10 minutes to read.</w:t>
            </w:r>
          </w:p>
          <w:p>
            <w:pPr>
              <w:spacing w:after="60" w:before="60"/>
            </w:pPr>
            <w:r>
              <w:rPr>
                <w:sz w:val="21"/>
                <w:szCs w:val="21"/>
              </w:rPr>
              <w:t xml:space="preserve"/>
            </w:r>
          </w:p>
          <w:p>
            <w:pPr>
              <w:spacing w:after="80" w:before="80"/>
            </w:pPr>
            <w:r>
              <w:rPr>
                <w:sz w:val="21"/>
                <w:szCs w:val="21"/>
              </w:rPr>
              <w:t xml:space="preserve">— Stephanie</w:t>
            </w:r>
          </w:p>
        </w:tc>
      </w:tr>
      <w:tr>
        <w:tc>
          <w:tcPr>
            <w:gridSpan w:val="2"/>
            <w:tcBorders>
              <w:top w:val="single" w:color="CCCCCC" w:sz="1"/>
              <w:left w:val="none" w:color="FFFFFF" w:sz="0"/>
              <w:bottom w:val="none" w:color="FFFFFF" w:sz="0"/>
              <w:right w:val="none" w:color="FFFFFF" w:sz="0"/>
            </w:tcBorders>
            <w:shd w:fill="F0F4F8" w:val="clear"/>
            <w:tcMar>
              <w:top w:type="dxa" w:w="120"/>
              <w:left w:type="dxa" w:w="200"/>
              <w:bottom w:type="dxa" w:w="120"/>
              <w:right w:type="dxa" w:w="200"/>
            </w:tcMar>
          </w:tcPr>
          <w:p>
            <w:r>
              <w:rPr>
                <w:b/>
                <w:bCs/>
                <w:color w:val="1B4F8A"/>
                <w:sz w:val="19"/>
                <w:szCs w:val="19"/>
              </w:rPr>
              <w:t xml:space="preserve">CTA / Goal: </w:t>
            </w:r>
            <w:r>
              <w:rPr>
                <w:i/>
                <w:iCs/>
                <w:sz w:val="19"/>
                <w:szCs w:val="19"/>
              </w:rPr>
              <w:t xml:space="preserve">Visit benchmark — ikwe.ai/benchmark</w:t>
            </w:r>
          </w:p>
        </w:tc>
      </w:tr>
    </w:tbl>
    <w:p>
      <w:pPr>
        <w:spacing w:before="400"/>
      </w:pPr>
      <w:r>
        <w:br w:type="page"/>
      </w:r>
    </w:p>
    <w:p>
      <w:pPr>
        <w:pBdr>
          <w:bottom w:val="single" w:color="1B4F8A" w:sz="6"/>
        </w:pBdr>
        <w:spacing w:after="120" w:before="400"/>
      </w:pPr>
      <w:r>
        <w:rPr>
          <w:b/>
          <w:bCs/>
          <w:caps/>
          <w:color w:val="1B4F8A"/>
          <w:sz w:val="24"/>
          <w:szCs w:val="24"/>
        </w:rPr>
        <w:t xml:space="preserve">Sequence C — Data / Benchmark Angle</w:t>
      </w:r>
    </w:p>
    <w:p>
      <w:pPr>
        <w:spacing w:after="120"/>
      </w:pPr>
      <w:r>
        <w:rPr>
          <w:color w:val="555555"/>
        </w:rPr>
        <w:t xml:space="preserve">Best for: technical founders, data-driven operators, and anyone who responds to benchmarks, research, or quantified claims.</w:t>
      </w:r>
    </w:p>
    <w:p>
      <w:pPr>
        <w:spacing w:before="2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b/>
                <w:bCs/>
                <w:color w:val="FFFFFF"/>
                <w:sz w:val="28"/>
                <w:szCs w:val="28"/>
              </w:rPr>
              <w:t xml:space="preserve">EMAIL C1</w:t>
            </w:r>
            <w:r>
              <w:rPr>
                <w:color w:val="BBDDFF"/>
                <w:sz w:val="20"/>
                <w:szCs w:val="20"/>
              </w:rPr>
              <w:t xml:space="preserve">   ·   Day 1 — Cold outreach</w:t>
            </w:r>
          </w:p>
        </w:tc>
      </w:tr>
      <w:tr>
        <w:tc>
          <w:tcPr>
            <w:tcW w:type="dxa" w:w="1400"/>
            <w:tcBorders>
              <w:top w:val="none" w:color="FFFFFF" w:sz="0"/>
              <w:left w:val="none" w:color="FFFFFF" w:sz="0"/>
              <w:bottom w:val="none" w:color="FFFFFF" w:sz="0"/>
              <w:right w:val="none" w:color="FFFFFF" w:sz="0"/>
            </w:tcBorders>
            <w:shd w:fill="EEF4FB" w:val="clear"/>
            <w:tcMar>
              <w:top w:type="dxa" w:w="80"/>
              <w:left w:type="dxa" w:w="200"/>
              <w:bottom w:type="dxa" w:w="80"/>
              <w:right w:type="dxa" w:w="100"/>
            </w:tcMar>
          </w:tcPr>
          <w:p>
            <w:r>
              <w:rPr>
                <w:b/>
                <w:bCs/>
                <w:color w:val="1B4F8A"/>
                <w:sz w:val="19"/>
                <w:szCs w:val="19"/>
              </w:rPr>
              <w:t xml:space="preserve">Subject line:</w:t>
            </w:r>
          </w:p>
        </w:tc>
        <w:tc>
          <w:tcPr>
            <w:tcW w:type="dxa" w:w="7960"/>
            <w:tcBorders>
              <w:top w:val="none" w:color="FFFFFF" w:sz="0"/>
              <w:left w:val="none" w:color="FFFFFF" w:sz="0"/>
              <w:bottom w:val="none" w:color="FFFFFF" w:sz="0"/>
              <w:right w:val="none" w:color="FFFFFF" w:sz="0"/>
            </w:tcBorders>
            <w:shd w:fill="EEF4FB" w:val="clear"/>
            <w:tcMar>
              <w:top w:type="dxa" w:w="80"/>
              <w:left w:type="dxa" w:w="100"/>
              <w:bottom w:type="dxa" w:w="80"/>
              <w:right w:type="dxa" w:w="200"/>
            </w:tcMar>
          </w:tcPr>
          <w:p>
            <w:r>
              <w:rPr>
                <w:b/>
                <w:bCs/>
                <w:sz w:val="22"/>
                <w:szCs w:val="22"/>
              </w:rPr>
              <w:t xml:space="preserve">44.9% of AI systems fail behavioral safety testing. Here's what that means.</w:t>
            </w:r>
          </w:p>
        </w:tc>
      </w:tr>
      <w:tr>
        <w:tc>
          <w:tcPr>
            <w:gridSpan w:val="2"/>
            <w:tcBorders>
              <w:top w:val="none" w:color="FFFFFF" w:sz="0"/>
              <w:left w:val="none" w:color="FFFFFF" w:sz="0"/>
              <w:bottom w:val="none" w:color="FFFFFF" w:sz="0"/>
              <w:right w:val="none" w:color="FFFFFF" w:sz="0"/>
            </w:tcBorders>
            <w:shd w:fill="FFFFFF" w:val="clear"/>
            <w:tcMar>
              <w:top w:type="dxa" w:w="160"/>
              <w:left w:type="dxa" w:w="200"/>
              <w:bottom w:type="dxa" w:w="40"/>
              <w:right w:type="dxa" w:w="200"/>
            </w:tcMar>
          </w:tcPr>
          <w:p>
            <w:r>
              <w:rPr>
                <w:b/>
                <w:bCs/>
                <w:color w:val="888888"/>
                <w:sz w:val="18"/>
                <w:szCs w:val="18"/>
              </w:rPr>
              <w:t xml:space="preserve">Body:</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80" w:before="80"/>
            </w:pPr>
            <w:r>
              <w:rPr>
                <w:sz w:val="21"/>
                <w:szCs w:val="21"/>
              </w:rPr>
              <w:t xml:space="preserve">Hi {{first_name}},</w:t>
            </w:r>
          </w:p>
          <w:p>
            <w:pPr>
              <w:spacing w:after="60" w:before="60"/>
            </w:pPr>
            <w:r>
              <w:rPr>
                <w:sz w:val="21"/>
                <w:szCs w:val="21"/>
              </w:rPr>
              <w:t xml:space="preserve"/>
            </w:r>
          </w:p>
          <w:p>
            <w:pPr>
              <w:spacing w:after="80" w:before="80"/>
            </w:pPr>
            <w:r>
              <w:rPr>
                <w:sz w:val="21"/>
                <w:szCs w:val="21"/>
              </w:rPr>
              <w:t xml:space="preserve">We ran 21,000+ outputs through a behavioral safety evaluation across 79 emotionally vulnerable scenarios.</w:t>
            </w:r>
          </w:p>
          <w:p>
            <w:pPr>
              <w:spacing w:after="60" w:before="60"/>
            </w:pPr>
            <w:r>
              <w:rPr>
                <w:sz w:val="21"/>
                <w:szCs w:val="21"/>
              </w:rPr>
              <w:t xml:space="preserve"/>
            </w:r>
          </w:p>
          <w:p>
            <w:pPr>
              <w:spacing w:after="80" w:before="80"/>
            </w:pPr>
            <w:r>
              <w:rPr>
                <w:sz w:val="21"/>
                <w:szCs w:val="21"/>
              </w:rPr>
              <w:t xml:space="preserve">The finding: 44.9% of systems failed the binary safety gate. Most of those failures weren't obvious — they were subtle escalation patterns, polite neglect, and unrepaired harm across multi-turn conversations.</w:t>
            </w:r>
          </w:p>
          <w:p>
            <w:pPr>
              <w:spacing w:after="60" w:before="60"/>
            </w:pPr>
            <w:r>
              <w:rPr>
                <w:sz w:val="21"/>
                <w:szCs w:val="21"/>
              </w:rPr>
              <w:t xml:space="preserve"/>
            </w:r>
          </w:p>
          <w:p>
            <w:pPr>
              <w:spacing w:after="80" w:before="80"/>
            </w:pPr>
            <w:r>
              <w:rPr>
                <w:sz w:val="21"/>
                <w:szCs w:val="21"/>
              </w:rPr>
              <w:t xml:space="preserve">The public leaderboard shows how the major frontier models performed. But frontier model scores don't tell you how your system behaves — your fine-tuning, system prompt, and deployment context all change the picture.</w:t>
            </w:r>
          </w:p>
          <w:p>
            <w:pPr>
              <w:spacing w:after="60" w:before="60"/>
            </w:pPr>
            <w:r>
              <w:rPr>
                <w:sz w:val="21"/>
                <w:szCs w:val="21"/>
              </w:rPr>
              <w:t xml:space="preserve"/>
            </w:r>
          </w:p>
          <w:p>
            <w:pPr>
              <w:spacing w:after="80" w:before="80"/>
            </w:pPr>
            <w:r>
              <w:rPr>
                <w:sz w:val="21"/>
                <w:szCs w:val="21"/>
              </w:rPr>
              <w:t xml:space="preserve">We do independent behavioral safety audits that benchmark your specific system. If you're shipping human-facing AI at {{company}}, it takes one evaluation to get your own safety record.</w:t>
            </w:r>
          </w:p>
          <w:p>
            <w:pPr>
              <w:spacing w:after="60" w:before="60"/>
            </w:pPr>
            <w:r>
              <w:rPr>
                <w:sz w:val="21"/>
                <w:szCs w:val="21"/>
              </w:rPr>
              <w:t xml:space="preserve"/>
            </w:r>
          </w:p>
          <w:p>
            <w:pPr>
              <w:spacing w:after="80" w:before="80"/>
            </w:pPr>
            <w:r>
              <w:rPr>
                <w:sz w:val="21"/>
                <w:szCs w:val="21"/>
              </w:rPr>
              <w:t xml:space="preserve">Public data is here if you want to dig in: ikwe.ai/benchmark</w:t>
            </w:r>
          </w:p>
          <w:p>
            <w:pPr>
              <w:spacing w:after="60" w:before="60"/>
            </w:pPr>
            <w:r>
              <w:rPr>
                <w:sz w:val="21"/>
                <w:szCs w:val="21"/>
              </w:rPr>
              <w:t xml:space="preserve"/>
            </w:r>
          </w:p>
          <w:p>
            <w:pPr>
              <w:spacing w:after="80" w:before="80"/>
            </w:pPr>
            <w:r>
              <w:rPr>
                <w:sz w:val="21"/>
                <w:szCs w:val="21"/>
              </w:rPr>
              <w:t xml:space="preserve">— Stephanie</w:t>
            </w:r>
          </w:p>
          <w:p>
            <w:pPr>
              <w:spacing w:after="60" w:before="60"/>
            </w:pPr>
            <w:r>
              <w:rPr>
                <w:sz w:val="21"/>
                <w:szCs w:val="21"/>
              </w:rPr>
              <w:t xml:space="preserve"/>
            </w:r>
          </w:p>
          <w:p>
            <w:pPr>
              <w:spacing w:after="80" w:before="80"/>
            </w:pPr>
            <w:r>
              <w:rPr>
                <w:sz w:val="21"/>
                <w:szCs w:val="21"/>
              </w:rPr>
              <w:t xml:space="preserve">Stephanie Stranko | ikwe.ai | Independent AI Behavioral Safety</w:t>
            </w:r>
          </w:p>
        </w:tc>
      </w:tr>
      <w:tr>
        <w:tc>
          <w:tcPr>
            <w:gridSpan w:val="2"/>
            <w:tcBorders>
              <w:top w:val="single" w:color="CCCCCC" w:sz="1"/>
              <w:left w:val="none" w:color="FFFFFF" w:sz="0"/>
              <w:bottom w:val="none" w:color="FFFFFF" w:sz="0"/>
              <w:right w:val="none" w:color="FFFFFF" w:sz="0"/>
            </w:tcBorders>
            <w:shd w:fill="F0F4F8" w:val="clear"/>
            <w:tcMar>
              <w:top w:type="dxa" w:w="120"/>
              <w:left w:type="dxa" w:w="200"/>
              <w:bottom w:type="dxa" w:w="120"/>
              <w:right w:type="dxa" w:w="200"/>
            </w:tcMar>
          </w:tcPr>
          <w:p>
            <w:r>
              <w:rPr>
                <w:b/>
                <w:bCs/>
                <w:color w:val="1B4F8A"/>
                <w:sz w:val="19"/>
                <w:szCs w:val="19"/>
              </w:rPr>
              <w:t xml:space="preserve">CTA / Goal: </w:t>
            </w:r>
            <w:r>
              <w:rPr>
                <w:i/>
                <w:iCs/>
                <w:sz w:val="19"/>
                <w:szCs w:val="19"/>
              </w:rPr>
              <w:t xml:space="preserve">View benchmark leaderboard — ikwe.ai/benchmark</w:t>
            </w:r>
          </w:p>
        </w:tc>
      </w:tr>
    </w:tbl>
    <w:p>
      <w:pPr>
        <w:spacing w:before="3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b/>
                <w:bCs/>
                <w:color w:val="FFFFFF"/>
                <w:sz w:val="28"/>
                <w:szCs w:val="28"/>
              </w:rPr>
              <w:t xml:space="preserve">EMAIL C2</w:t>
            </w:r>
            <w:r>
              <w:rPr>
                <w:color w:val="BBDDFF"/>
                <w:sz w:val="20"/>
                <w:szCs w:val="20"/>
              </w:rPr>
              <w:t xml:space="preserve">   ·   Day 6 — Follow-up</w:t>
            </w:r>
          </w:p>
        </w:tc>
      </w:tr>
      <w:tr>
        <w:tc>
          <w:tcPr>
            <w:tcW w:type="dxa" w:w="1400"/>
            <w:tcBorders>
              <w:top w:val="none" w:color="FFFFFF" w:sz="0"/>
              <w:left w:val="none" w:color="FFFFFF" w:sz="0"/>
              <w:bottom w:val="none" w:color="FFFFFF" w:sz="0"/>
              <w:right w:val="none" w:color="FFFFFF" w:sz="0"/>
            </w:tcBorders>
            <w:shd w:fill="EEF4FB" w:val="clear"/>
            <w:tcMar>
              <w:top w:type="dxa" w:w="80"/>
              <w:left w:type="dxa" w:w="200"/>
              <w:bottom w:type="dxa" w:w="80"/>
              <w:right w:type="dxa" w:w="100"/>
            </w:tcMar>
          </w:tcPr>
          <w:p>
            <w:r>
              <w:rPr>
                <w:b/>
                <w:bCs/>
                <w:color w:val="1B4F8A"/>
                <w:sz w:val="19"/>
                <w:szCs w:val="19"/>
              </w:rPr>
              <w:t xml:space="preserve">Subject line:</w:t>
            </w:r>
          </w:p>
        </w:tc>
        <w:tc>
          <w:tcPr>
            <w:tcW w:type="dxa" w:w="7960"/>
            <w:tcBorders>
              <w:top w:val="none" w:color="FFFFFF" w:sz="0"/>
              <w:left w:val="none" w:color="FFFFFF" w:sz="0"/>
              <w:bottom w:val="none" w:color="FFFFFF" w:sz="0"/>
              <w:right w:val="none" w:color="FFFFFF" w:sz="0"/>
            </w:tcBorders>
            <w:shd w:fill="EEF4FB" w:val="clear"/>
            <w:tcMar>
              <w:top w:type="dxa" w:w="80"/>
              <w:left w:type="dxa" w:w="100"/>
              <w:bottom w:type="dxa" w:w="80"/>
              <w:right w:type="dxa" w:w="200"/>
            </w:tcMar>
          </w:tcPr>
          <w:p>
            <w:r>
              <w:rPr>
                <w:b/>
                <w:bCs/>
                <w:sz w:val="22"/>
                <w:szCs w:val="22"/>
              </w:rPr>
              <w:t xml:space="preserve">The three failure patterns that account for half of all risky AI responses</w:t>
            </w:r>
          </w:p>
        </w:tc>
      </w:tr>
      <w:tr>
        <w:tc>
          <w:tcPr>
            <w:gridSpan w:val="2"/>
            <w:tcBorders>
              <w:top w:val="none" w:color="FFFFFF" w:sz="0"/>
              <w:left w:val="none" w:color="FFFFFF" w:sz="0"/>
              <w:bottom w:val="none" w:color="FFFFFF" w:sz="0"/>
              <w:right w:val="none" w:color="FFFFFF" w:sz="0"/>
            </w:tcBorders>
            <w:shd w:fill="FFFFFF" w:val="clear"/>
            <w:tcMar>
              <w:top w:type="dxa" w:w="160"/>
              <w:left w:type="dxa" w:w="200"/>
              <w:bottom w:type="dxa" w:w="40"/>
              <w:right w:type="dxa" w:w="200"/>
            </w:tcMar>
          </w:tcPr>
          <w:p>
            <w:r>
              <w:rPr>
                <w:b/>
                <w:bCs/>
                <w:color w:val="888888"/>
                <w:sz w:val="18"/>
                <w:szCs w:val="18"/>
              </w:rPr>
              <w:t xml:space="preserve">Body:</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80" w:before="80"/>
            </w:pPr>
            <w:r>
              <w:rPr>
                <w:sz w:val="21"/>
                <w:szCs w:val="21"/>
              </w:rPr>
              <w:t xml:space="preserve">Hi {{first_name}},</w:t>
            </w:r>
          </w:p>
          <w:p>
            <w:pPr>
              <w:spacing w:after="60" w:before="60"/>
            </w:pPr>
            <w:r>
              <w:rPr>
                <w:sz w:val="21"/>
                <w:szCs w:val="21"/>
              </w:rPr>
              <w:t xml:space="preserve"/>
            </w:r>
          </w:p>
          <w:p>
            <w:pPr>
              <w:spacing w:after="80" w:before="80"/>
            </w:pPr>
            <w:r>
              <w:rPr>
                <w:sz w:val="21"/>
                <w:szCs w:val="21"/>
              </w:rPr>
              <w:t xml:space="preserve">Following up on the benchmark data I shared.</w:t>
            </w:r>
          </w:p>
          <w:p>
            <w:pPr>
              <w:spacing w:after="60" w:before="60"/>
            </w:pPr>
            <w:r>
              <w:rPr>
                <w:sz w:val="21"/>
                <w:szCs w:val="21"/>
              </w:rPr>
              <w:t xml:space="preserve"/>
            </w:r>
          </w:p>
          <w:p>
            <w:pPr>
              <w:spacing w:after="80" w:before="80"/>
            </w:pPr>
            <w:r>
              <w:rPr>
                <w:sz w:val="21"/>
                <w:szCs w:val="21"/>
              </w:rPr>
              <w:t xml:space="preserve">In our evaluation, three patterns accounted for nearly half of all risky responses:</w:t>
            </w:r>
          </w:p>
          <w:p>
            <w:pPr>
              <w:spacing w:after="60" w:before="60"/>
            </w:pPr>
            <w:r>
              <w:rPr>
                <w:sz w:val="21"/>
                <w:szCs w:val="21"/>
              </w:rPr>
              <w:t xml:space="preserve"/>
            </w:r>
          </w:p>
          <w:p>
            <w:pPr>
              <w:pStyle w:val="ListParagraph"/>
              <w:numPr>
                <w:ilvl w:val="0"/>
                <w:numId w:val="2"/>
              </w:numPr>
              <w:spacing w:after="60" w:before="60"/>
              <w:ind w:left="520"/>
            </w:pPr>
            <w:r>
              <w:rPr>
                <w:sz w:val="21"/>
                <w:szCs w:val="21"/>
              </w:rPr>
              <w:t xml:space="preserve">Supportive escalation — sounds empathetic but amplifies distress instead of de-escalating it</w:t>
            </w:r>
          </w:p>
          <w:p>
            <w:pPr>
              <w:pStyle w:val="ListParagraph"/>
              <w:numPr>
                <w:ilvl w:val="0"/>
                <w:numId w:val="2"/>
              </w:numPr>
              <w:spacing w:after="60" w:before="60"/>
              <w:ind w:left="520"/>
            </w:pPr>
            <w:r>
              <w:rPr>
                <w:sz w:val="21"/>
                <w:szCs w:val="21"/>
              </w:rPr>
              <w:t xml:space="preserve">Polite neglect — answers the literal question and ignores obvious distress signals</w:t>
            </w:r>
          </w:p>
          <w:p>
            <w:pPr>
              <w:pStyle w:val="ListParagraph"/>
              <w:numPr>
                <w:ilvl w:val="0"/>
                <w:numId w:val="2"/>
              </w:numPr>
              <w:spacing w:after="60" w:before="60"/>
              <w:ind w:left="520"/>
            </w:pPr>
            <w:r>
              <w:rPr>
                <w:sz w:val="21"/>
                <w:szCs w:val="21"/>
              </w:rPr>
              <w:t xml:space="preserve">Unrepaired harm — flags something once, then moves on with no recovery</w:t>
            </w:r>
          </w:p>
          <w:p>
            <w:pPr>
              <w:spacing w:after="60" w:before="60"/>
            </w:pPr>
            <w:r>
              <w:rPr>
                <w:sz w:val="21"/>
                <w:szCs w:val="21"/>
              </w:rPr>
              <w:t xml:space="preserve"/>
            </w:r>
          </w:p>
          <w:p>
            <w:pPr>
              <w:spacing w:after="80" w:before="80"/>
            </w:pPr>
            <w:r>
              <w:rPr>
                <w:sz w:val="21"/>
                <w:szCs w:val="21"/>
              </w:rPr>
              <w:t xml:space="preserve">None of these look dangerous in a single screenshot. They only become visible across multi-turn interactions under emotional pressure.</w:t>
            </w:r>
          </w:p>
          <w:p>
            <w:pPr>
              <w:spacing w:after="60" w:before="60"/>
            </w:pPr>
            <w:r>
              <w:rPr>
                <w:sz w:val="21"/>
                <w:szCs w:val="21"/>
              </w:rPr>
              <w:t xml:space="preserve"/>
            </w:r>
          </w:p>
          <w:p>
            <w:pPr>
              <w:spacing w:after="80" w:before="80"/>
            </w:pPr>
            <w:r>
              <w:rPr>
                <w:sz w:val="21"/>
                <w:szCs w:val="21"/>
              </w:rPr>
              <w:t xml:space="preserve">If {{company}}'s AI has human-facing interactions, would it be useful to run your system through the evaluation and see where you land?</w:t>
            </w:r>
          </w:p>
          <w:p>
            <w:pPr>
              <w:spacing w:after="60" w:before="60"/>
            </w:pPr>
            <w:r>
              <w:rPr>
                <w:sz w:val="21"/>
                <w:szCs w:val="21"/>
              </w:rPr>
              <w:t xml:space="preserve"/>
            </w:r>
          </w:p>
          <w:p>
            <w:pPr>
              <w:spacing w:after="80" w:before="80"/>
            </w:pPr>
            <w:r>
              <w:rPr>
                <w:sz w:val="21"/>
                <w:szCs w:val="21"/>
              </w:rPr>
              <w:t xml:space="preserve">— Stephanie</w:t>
            </w:r>
          </w:p>
        </w:tc>
      </w:tr>
      <w:tr>
        <w:tc>
          <w:tcPr>
            <w:gridSpan w:val="2"/>
            <w:tcBorders>
              <w:top w:val="single" w:color="CCCCCC" w:sz="1"/>
              <w:left w:val="none" w:color="FFFFFF" w:sz="0"/>
              <w:bottom w:val="none" w:color="FFFFFF" w:sz="0"/>
              <w:right w:val="none" w:color="FFFFFF" w:sz="0"/>
            </w:tcBorders>
            <w:shd w:fill="F0F4F8" w:val="clear"/>
            <w:tcMar>
              <w:top w:type="dxa" w:w="120"/>
              <w:left w:type="dxa" w:w="200"/>
              <w:bottom w:type="dxa" w:w="120"/>
              <w:right w:type="dxa" w:w="200"/>
            </w:tcMar>
          </w:tcPr>
          <w:p>
            <w:r>
              <w:rPr>
                <w:b/>
                <w:bCs/>
                <w:color w:val="1B4F8A"/>
                <w:sz w:val="19"/>
                <w:szCs w:val="19"/>
              </w:rPr>
              <w:t xml:space="preserve">CTA / Goal: </w:t>
            </w:r>
            <w:r>
              <w:rPr>
                <w:i/>
                <w:iCs/>
                <w:sz w:val="19"/>
                <w:szCs w:val="19"/>
              </w:rPr>
              <w:t xml:space="preserve">Book scope call — ikwe.ai/audit</w:t>
            </w:r>
          </w:p>
        </w:tc>
      </w:tr>
    </w:tbl>
    <w:p>
      <w:pPr>
        <w:spacing w:before="3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1400"/>
        <w:gridCol w:w="7960"/>
      </w:tblGrid>
      <w:tr>
        <w:tc>
          <w:tcPr>
            <w:gridSpan w:val="2"/>
            <w:tcBorders>
              <w:top w:val="none" w:color="FFFFFF" w:sz="0"/>
              <w:left w:val="none" w:color="FFFFFF" w:sz="0"/>
              <w:bottom w:val="none" w:color="FFFFFF" w:sz="0"/>
              <w:right w:val="none" w:color="FFFFFF" w:sz="0"/>
            </w:tcBorders>
            <w:shd w:fill="1B4F8A" w:val="clear"/>
            <w:tcMar>
              <w:top w:type="dxa" w:w="120"/>
              <w:left w:type="dxa" w:w="200"/>
              <w:bottom w:type="dxa" w:w="120"/>
              <w:right w:type="dxa" w:w="200"/>
            </w:tcMar>
          </w:tcPr>
          <w:p>
            <w:r>
              <w:rPr>
                <w:b/>
                <w:bCs/>
                <w:color w:val="FFFFFF"/>
                <w:sz w:val="28"/>
                <w:szCs w:val="28"/>
              </w:rPr>
              <w:t xml:space="preserve">EMAIL C3</w:t>
            </w:r>
            <w:r>
              <w:rPr>
                <w:color w:val="BBDDFF"/>
                <w:sz w:val="20"/>
                <w:szCs w:val="20"/>
              </w:rPr>
              <w:t xml:space="preserve">   ·   Day 13 — Final touch</w:t>
            </w:r>
          </w:p>
        </w:tc>
      </w:tr>
      <w:tr>
        <w:tc>
          <w:tcPr>
            <w:tcW w:type="dxa" w:w="1400"/>
            <w:tcBorders>
              <w:top w:val="none" w:color="FFFFFF" w:sz="0"/>
              <w:left w:val="none" w:color="FFFFFF" w:sz="0"/>
              <w:bottom w:val="none" w:color="FFFFFF" w:sz="0"/>
              <w:right w:val="none" w:color="FFFFFF" w:sz="0"/>
            </w:tcBorders>
            <w:shd w:fill="EEF4FB" w:val="clear"/>
            <w:tcMar>
              <w:top w:type="dxa" w:w="80"/>
              <w:left w:type="dxa" w:w="200"/>
              <w:bottom w:type="dxa" w:w="80"/>
              <w:right w:type="dxa" w:w="100"/>
            </w:tcMar>
          </w:tcPr>
          <w:p>
            <w:r>
              <w:rPr>
                <w:b/>
                <w:bCs/>
                <w:color w:val="1B4F8A"/>
                <w:sz w:val="19"/>
                <w:szCs w:val="19"/>
              </w:rPr>
              <w:t xml:space="preserve">Subject line:</w:t>
            </w:r>
          </w:p>
        </w:tc>
        <w:tc>
          <w:tcPr>
            <w:tcW w:type="dxa" w:w="7960"/>
            <w:tcBorders>
              <w:top w:val="none" w:color="FFFFFF" w:sz="0"/>
              <w:left w:val="none" w:color="FFFFFF" w:sz="0"/>
              <w:bottom w:val="none" w:color="FFFFFF" w:sz="0"/>
              <w:right w:val="none" w:color="FFFFFF" w:sz="0"/>
            </w:tcBorders>
            <w:shd w:fill="EEF4FB" w:val="clear"/>
            <w:tcMar>
              <w:top w:type="dxa" w:w="80"/>
              <w:left w:type="dxa" w:w="100"/>
              <w:bottom w:type="dxa" w:w="80"/>
              <w:right w:type="dxa" w:w="200"/>
            </w:tcMar>
          </w:tcPr>
          <w:p>
            <w:r>
              <w:rPr>
                <w:b/>
                <w:bCs/>
                <w:sz w:val="22"/>
                <w:szCs w:val="22"/>
              </w:rPr>
              <w:t xml:space="preserve">Last note — one number worth knowing before I go</w:t>
            </w:r>
          </w:p>
        </w:tc>
      </w:tr>
      <w:tr>
        <w:tc>
          <w:tcPr>
            <w:gridSpan w:val="2"/>
            <w:tcBorders>
              <w:top w:val="none" w:color="FFFFFF" w:sz="0"/>
              <w:left w:val="none" w:color="FFFFFF" w:sz="0"/>
              <w:bottom w:val="none" w:color="FFFFFF" w:sz="0"/>
              <w:right w:val="none" w:color="FFFFFF" w:sz="0"/>
            </w:tcBorders>
            <w:shd w:fill="FFFFFF" w:val="clear"/>
            <w:tcMar>
              <w:top w:type="dxa" w:w="160"/>
              <w:left w:type="dxa" w:w="200"/>
              <w:bottom w:type="dxa" w:w="40"/>
              <w:right w:type="dxa" w:w="200"/>
            </w:tcMar>
          </w:tcPr>
          <w:p>
            <w:r>
              <w:rPr>
                <w:b/>
                <w:bCs/>
                <w:color w:val="888888"/>
                <w:sz w:val="18"/>
                <w:szCs w:val="18"/>
              </w:rPr>
              <w:t xml:space="preserve">Body:</w:t>
            </w:r>
          </w:p>
        </w:tc>
      </w:tr>
      <w:tr>
        <w:tc>
          <w:tcPr>
            <w:gridSpan w:val="2"/>
            <w:tcBorders>
              <w:top w:val="none" w:color="FFFFFF" w:sz="0"/>
              <w:left w:val="none" w:color="FFFFFF" w:sz="0"/>
              <w:bottom w:val="none" w:color="FFFFFF" w:sz="0"/>
              <w:right w:val="none" w:color="FFFFFF" w:sz="0"/>
            </w:tcBorders>
            <w:shd w:fill="FFFFFF" w:val="clear"/>
            <w:tcMar>
              <w:top w:type="dxa" w:w="0"/>
              <w:left w:type="dxa" w:w="200"/>
              <w:bottom w:type="dxa" w:w="0"/>
              <w:right w:type="dxa" w:w="200"/>
            </w:tcMar>
          </w:tcPr>
          <w:p>
            <w:pPr>
              <w:spacing w:after="80" w:before="80"/>
            </w:pPr>
            <w:r>
              <w:rPr>
                <w:sz w:val="21"/>
                <w:szCs w:val="21"/>
              </w:rPr>
              <w:t xml:space="preserve">Hi {{first_name}},</w:t>
            </w:r>
          </w:p>
          <w:p>
            <w:pPr>
              <w:spacing w:after="60" w:before="60"/>
            </w:pPr>
            <w:r>
              <w:rPr>
                <w:sz w:val="21"/>
                <w:szCs w:val="21"/>
              </w:rPr>
              <w:t xml:space="preserve"/>
            </w:r>
          </w:p>
          <w:p>
            <w:pPr>
              <w:spacing w:after="80" w:before="80"/>
            </w:pPr>
            <w:r>
              <w:rPr>
                <w:sz w:val="21"/>
                <w:szCs w:val="21"/>
              </w:rPr>
              <w:t xml:space="preserve">One last note.</w:t>
            </w:r>
          </w:p>
          <w:p>
            <w:pPr>
              <w:spacing w:after="60" w:before="60"/>
            </w:pPr>
            <w:r>
              <w:rPr>
                <w:sz w:val="21"/>
                <w:szCs w:val="21"/>
              </w:rPr>
              <w:t xml:space="preserve"/>
            </w:r>
          </w:p>
          <w:p>
            <w:pPr>
              <w:spacing w:after="80" w:before="80"/>
            </w:pPr>
            <w:r>
              <w:rPr>
                <w:sz w:val="21"/>
                <w:szCs w:val="21"/>
              </w:rPr>
              <w:t xml:space="preserve">54.7% of frontier-model responses introduced emotional risk at first contact — and most appeared supportive on the surface.</w:t>
            </w:r>
          </w:p>
          <w:p>
            <w:pPr>
              <w:spacing w:after="60" w:before="60"/>
            </w:pPr>
            <w:r>
              <w:rPr>
                <w:sz w:val="21"/>
                <w:szCs w:val="21"/>
              </w:rPr>
              <w:t xml:space="preserve"/>
            </w:r>
          </w:p>
          <w:p>
            <w:pPr>
              <w:spacing w:after="80" w:before="80"/>
            </w:pPr>
            <w:r>
              <w:rPr>
                <w:sz w:val="21"/>
                <w:szCs w:val="21"/>
              </w:rPr>
              <w:t xml:space="preserve">That number is from our baseline evaluation of frontier models. Your system may do better. It may do worse. Without an independent evaluation, you're operating on the assumption that internal testing caught everything — which, in our data, it usually hasn't.</w:t>
            </w:r>
          </w:p>
          <w:p>
            <w:pPr>
              <w:spacing w:after="60" w:before="60"/>
            </w:pPr>
            <w:r>
              <w:rPr>
                <w:sz w:val="21"/>
                <w:szCs w:val="21"/>
              </w:rPr>
              <w:t xml:space="preserve"/>
            </w:r>
          </w:p>
          <w:p>
            <w:pPr>
              <w:spacing w:after="80" w:before="80"/>
            </w:pPr>
            <w:r>
              <w:rPr>
                <w:sz w:val="21"/>
                <w:szCs w:val="21"/>
              </w:rPr>
              <w:t xml:space="preserve">If {{company}} ever wants to know the real number for your system: that's what we do. ikwe.ai/audit.</w:t>
            </w:r>
          </w:p>
          <w:p>
            <w:pPr>
              <w:spacing w:after="60" w:before="60"/>
            </w:pPr>
            <w:r>
              <w:rPr>
                <w:sz w:val="21"/>
                <w:szCs w:val="21"/>
              </w:rPr>
              <w:t xml:space="preserve"/>
            </w:r>
          </w:p>
          <w:p>
            <w:pPr>
              <w:spacing w:after="80" w:before="80"/>
            </w:pPr>
            <w:r>
              <w:rPr>
                <w:sz w:val="21"/>
                <w:szCs w:val="21"/>
              </w:rPr>
              <w:t xml:space="preserve">And if now isn't the right time — totally fine. The research summary is public: ikwe.ai/benchmark</w:t>
            </w:r>
          </w:p>
          <w:p>
            <w:pPr>
              <w:spacing w:after="60" w:before="60"/>
            </w:pPr>
            <w:r>
              <w:rPr>
                <w:sz w:val="21"/>
                <w:szCs w:val="21"/>
              </w:rPr>
              <w:t xml:space="preserve"/>
            </w:r>
          </w:p>
          <w:p>
            <w:pPr>
              <w:spacing w:after="80" w:before="80"/>
            </w:pPr>
            <w:r>
              <w:rPr>
                <w:sz w:val="21"/>
                <w:szCs w:val="21"/>
              </w:rPr>
              <w:t xml:space="preserve">Good luck with the build.</w:t>
            </w:r>
          </w:p>
          <w:p>
            <w:pPr>
              <w:spacing w:after="60" w:before="60"/>
            </w:pPr>
            <w:r>
              <w:rPr>
                <w:sz w:val="21"/>
                <w:szCs w:val="21"/>
              </w:rPr>
              <w:t xml:space="preserve"/>
            </w:r>
          </w:p>
          <w:p>
            <w:pPr>
              <w:spacing w:after="80" w:before="80"/>
            </w:pPr>
            <w:r>
              <w:rPr>
                <w:sz w:val="21"/>
                <w:szCs w:val="21"/>
              </w:rPr>
              <w:t xml:space="preserve">— Stephanie</w:t>
            </w:r>
          </w:p>
        </w:tc>
      </w:tr>
      <w:tr>
        <w:tc>
          <w:tcPr>
            <w:gridSpan w:val="2"/>
            <w:tcBorders>
              <w:top w:val="single" w:color="CCCCCC" w:sz="1"/>
              <w:left w:val="none" w:color="FFFFFF" w:sz="0"/>
              <w:bottom w:val="none" w:color="FFFFFF" w:sz="0"/>
              <w:right w:val="none" w:color="FFFFFF" w:sz="0"/>
            </w:tcBorders>
            <w:shd w:fill="F0F4F8" w:val="clear"/>
            <w:tcMar>
              <w:top w:type="dxa" w:w="120"/>
              <w:left w:type="dxa" w:w="200"/>
              <w:bottom w:type="dxa" w:w="120"/>
              <w:right w:type="dxa" w:w="200"/>
            </w:tcMar>
          </w:tcPr>
          <w:p>
            <w:r>
              <w:rPr>
                <w:b/>
                <w:bCs/>
                <w:color w:val="1B4F8A"/>
                <w:sz w:val="19"/>
                <w:szCs w:val="19"/>
              </w:rPr>
              <w:t xml:space="preserve">CTA / Goal: </w:t>
            </w:r>
            <w:r>
              <w:rPr>
                <w:i/>
                <w:iCs/>
                <w:sz w:val="19"/>
                <w:szCs w:val="19"/>
              </w:rPr>
              <w:t xml:space="preserve">Visit audit page or benchmark — final conversion attempt</w:t>
            </w:r>
          </w:p>
        </w:tc>
      </w:tr>
    </w:tbl>
    <w:p>
      <w:pPr>
        <w:spacing w:before="400"/>
      </w:pPr>
      <w:r>
        <w:br w:type="page"/>
      </w:r>
    </w:p>
    <w:p>
      <w:pPr>
        <w:pStyle w:val="Heading1"/>
      </w:pPr>
      <w:r>
        <w:rPr>
          <w:b/>
          <w:bCs/>
          <w:color w:val="1B2631"/>
        </w:rPr>
        <w:t xml:space="preserve">Campaign.io Setup Notes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Setting</w:t>
            </w:r>
          </w:p>
        </w:tc>
        <w:tc>
          <w:tcPr>
            <w:tcW w:type="dxa" w:w="71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b/>
                <w:bCs/>
                <w:color w:val="FFFFFF"/>
                <w:sz w:val="20"/>
                <w:szCs w:val="20"/>
              </w:rPr>
              <w:t xml:space="preserve">Recommendation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From name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Stephanie Stranko (personal, not "Ikwe.ai" — founder-to-founder tone works better at cold outreach stage)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Send time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Tuesday–Thursday, 8–10am recipient local time. Avoid Monday mornings and Friday afternoons.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Sequence gaps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5–7 business days between each email. Stop the sequence immediately on reply.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A/B testing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Run Sequence A vs Sequence C on first send to your Clay list. Measure open rate on Email 1 subject lines. Sequence B is best held for leads enriched with funding/enterprise signals from Clay.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Personalization tokens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{{first_name}}, {{company}} — required. Optional enrichment fields from Clay:</w:t>
            </w:r>
          </w:p>
          <w:p>
            <w:pPr>
              <w:pStyle w:val="ListParagraph"/>
              <w:numPr>
                <w:ilvl w:val="0"/>
                <w:numId w:val="2"/>
              </w:numPr>
              <w:spacing w:after="80"/>
            </w:pPr>
            <w:r>
              <w:rPr>
                <w:sz w:val="22"/>
                <w:szCs w:val="22"/>
              </w:rPr>
              <w:t xml:space="preserve">{{product_type}} — e.g. 'mental health AI' or 'companion app' for more targeted openers</w:t>
            </w:r>
          </w:p>
          <w:p>
            <w:pPr>
              <w:pStyle w:val="ListParagraph"/>
              <w:numPr>
                <w:ilvl w:val="0"/>
                <w:numId w:val="2"/>
              </w:numPr>
              <w:spacing w:after="80"/>
            </w:pPr>
            <w:r>
              <w:rPr>
                <w:sz w:val="22"/>
                <w:szCs w:val="22"/>
              </w:rPr>
              <w:t xml:space="preserve">{{recent_launch}} — if Clay surfaces a recent product launch or funding round</w:t>
            </w:r>
          </w:p>
          <w:p>
            <w:pPr>
              <w:pStyle w:val="ListParagraph"/>
              <w:numPr>
                <w:ilvl w:val="0"/>
                <w:numId w:val="2"/>
              </w:numPr>
              <w:spacing w:after="80"/>
            </w:pPr>
            <w:r>
              <w:rPr>
                <w:sz w:val="22"/>
                <w:szCs w:val="22"/>
              </w:rPr>
              <w:t xml:space="preserve">{{industry}} — for further personalization of industry-specific risk framing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Unsubscribe / opt-out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Campaign.io handles CAN-SPAM compliance automatically. Ensure your domain is warmed and SPF/DKIM/DMARC are configured for deliverability.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spacing w:before="80"/>
      <w:jc w:val="right"/>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3"/>
      </w:pBdr>
      <w:spacing w:after="80"/>
    </w:pPr>
    <w:r>
      <w:rPr>
        <w:b/>
        <w:bCs/>
        <w:color w:val="1B4F8A"/>
        <w:sz w:val="18"/>
        <w:szCs w:val="18"/>
      </w:rPr>
      <w:t xml:space="preserve">ikwe.ai  ·  Campaign.io Email Sequences</w:t>
    </w:r>
    <w:r>
      <w:rPr>
        <w:color w:val="999999"/>
        <w:sz w:val="18"/>
        <w:szCs w:val="18"/>
      </w:rPr>
      <w:t xml:space="preserve">  ·  New Customer Acquisition  ·  Startup Founders &amp; CEOs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631"/>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B4F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2026-03-18T03:40:55.405Z</dcterms:created>
  <dcterms:modified xsi:type="dcterms:W3CDTF">2026-03-18T03:40:55.405Z</dcterms:modified>
</cp:coreProperties>
</file>

<file path=docProps/custom.xml><?xml version="1.0" encoding="utf-8"?>
<Properties xmlns="http://schemas.openxmlformats.org/officeDocument/2006/custom-properties" xmlns:vt="http://schemas.openxmlformats.org/officeDocument/2006/docPropsVTypes"/>
</file>