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7B4FD4"/>
          <w:spacing w:val="80"/>
          <w:sz w:val="17"/>
          <w:szCs w:val="17"/>
        </w:rPr>
        <w:t xml:space="preserve">EXECUTIVE BRIEF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/>
          <w:bCs/>
          <w:color w:val="1A1228"/>
          <w:sz w:val="62"/>
          <w:szCs w:val="62"/>
        </w:rPr>
        <w:t xml:space="preserve">The Behavioral Safety Layer for Human-Facing AI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706C88"/>
          <w:sz w:val="22"/>
          <w:szCs w:val="22"/>
        </w:rPr>
        <w:t xml:space="preserve">Independent validation that proves your system can be trusted with humans — before harm, liability, or headlines.</w:t>
      </w:r>
    </w:p>
    <w:p>
      <w:pPr>
        <w:spacing w:after="0" w:before="140"/>
      </w:pPr>
      <w:r>
        <w:rPr>
          <w:rFonts w:ascii="Arial" w:cs="Arial" w:eastAsia="Arial" w:hAnsi="Arial"/>
          <w:color w:val="3D37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80"/>
        <w:gridCol w:w="3066"/>
        <w:gridCol w:w="80"/>
        <w:gridCol w:w="3068"/>
      </w:tblGrid>
      <w:tr>
        <w:tc>
          <w:tcPr>
            <w:tcW w:type="dxa" w:w="3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1"/>
                <w:szCs w:val="21"/>
              </w:rPr>
              <w:t xml:space="preserve">Binary Safety Gate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3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1"/>
                <w:szCs w:val="21"/>
              </w:rPr>
              <w:t xml:space="preserve">8 Behavioral Dimensions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1"/>
                <w:szCs w:val="21"/>
              </w:rPr>
              <w:t xml:space="preserve">79 Baseline Scenarios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D37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1"/>
                <w:szCs w:val="21"/>
              </w:rPr>
              <w:t xml:space="preserve">Frontier Models Evaluated</w:t>
            </w:r>
          </w:p>
        </w:tc>
      </w:tr>
    </w:tbl>
    <w:p>
      <w:pPr>
        <w:pBdr>
          <w:bottom w:val="single" w:color="E4DFF5" w:sz="4" w:space="1"/>
        </w:pBdr>
        <w:spacing w:after="200" w:before="200"/>
        <w:jc w:val="left"/>
      </w:pPr>
      <w:r>
        <w:rPr>
          <w:rFonts w:ascii="Arial" w:cs="Arial" w:eastAsia="Arial" w:hAnsi="Arial"/>
          <w:color w:val="3D37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80"/>
        <w:gridCol w:w="454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The Problem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AI systems increasingly interact with users during emotionally sensitive moments — customer support, mental health tools, companion AI, education, and care systems.</w:t>
            </w:r>
          </w:p>
          <w:p>
            <w:pPr>
              <w:pBdr>
                <w:left w:val="single" w:color="C9A87A" w:sz="14" w:space="8"/>
              </w:pBdr>
              <w:spacing w:after="120" w:before="120"/>
              <w:jc w:val="left"/>
            </w:pPr>
            <w:r>
              <w:rPr>
                <w:rFonts w:ascii="Georgia" w:cs="Georgia" w:eastAsia="Georgia" w:hAnsi="Georgia"/>
                <w:color w:val="3D3755"/>
                <w:sz w:val="22"/>
                <w:szCs w:val="22"/>
              </w:rPr>
              <w:t xml:space="preserve">When these systems fail, the consequences are not technical bugs. They are human safety failures.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706C88"/>
                <w:sz w:val="20"/>
                <w:szCs w:val="20"/>
              </w:rPr>
              <w:t xml:space="preserve">Most AI governance frameworks measure capability, bias, and accuracy. Very few measure behavior under emotional pressure.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The Missing Layer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Every critical industry eventually required independent validation.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7B4FD4"/>
                <w:sz w:val="26"/>
                <w:szCs w:val="26"/>
              </w:rPr>
              <w:t xml:space="preserve">1  </w:t>
            </w: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Finance — Credit rating agencies</w:t>
            </w:r>
          </w:p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7B4FD4"/>
                <w:sz w:val="26"/>
                <w:szCs w:val="26"/>
              </w:rPr>
              <w:t xml:space="preserve">2  </w:t>
            </w: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Healthcare — Clinical trials oversight</w:t>
            </w:r>
          </w:p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7B4FD4"/>
                <w:sz w:val="26"/>
                <w:szCs w:val="26"/>
              </w:rPr>
              <w:t xml:space="preserve">3  </w:t>
            </w: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Aviation — Safety certification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7B4FD4"/>
                <w:sz w:val="21"/>
                <w:szCs w:val="21"/>
              </w:rPr>
              <w:t xml:space="preserve">Human-facing AI now requires the same. Ikwe is that layer.</w:t>
            </w:r>
          </w:p>
        </w:tc>
      </w:tr>
    </w:tbl>
    <w:p>
      <w:pPr>
        <w:pBdr>
          <w:bottom w:val="single" w:color="E4DFF5" w:sz="4" w:space="1"/>
        </w:pBdr>
        <w:spacing w:after="200" w:before="200"/>
        <w:jc w:val="left"/>
      </w:pPr>
      <w:r>
        <w:rPr>
          <w:rFonts w:ascii="Arial" w:cs="Arial" w:eastAsia="Arial" w:hAnsi="Arial"/>
          <w:color w:val="3D3755"/>
          <w:sz w:val="22"/>
          <w:szCs w:val="22"/>
        </w:rPr>
        <w:t xml:space="preserve"/>
      </w:r>
    </w:p>
    <w:p>
      <w:pPr>
        <w:spacing w:after="100" w:before="200"/>
        <w:jc w:val="left"/>
      </w:pPr>
      <w:r>
        <w:rPr>
          <w:rFonts w:ascii="Georgia" w:cs="Georgia" w:eastAsia="Georgia" w:hAnsi="Georgia"/>
          <w:b/>
          <w:bCs/>
          <w:color w:val="1A1228"/>
          <w:sz w:val="32"/>
          <w:szCs w:val="32"/>
        </w:rPr>
        <w:t xml:space="preserve">The EQ Safety Benchmark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D3755"/>
          <w:sz w:val="21"/>
          <w:szCs w:val="21"/>
        </w:rPr>
        <w:t xml:space="preserve">A behavioral evaluation framework that measures how AI systems respond under emotional pressure — evaluating any AI response through:</w:t>
      </w:r>
    </w:p>
    <w:p>
      <w:pPr>
        <w:spacing w:after="0" w:before="100"/>
      </w:pPr>
      <w:r>
        <w:rPr>
          <w:rFonts w:ascii="Arial" w:cs="Arial" w:eastAsia="Arial" w:hAnsi="Arial"/>
          <w:color w:val="3D37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80"/>
        <w:gridCol w:w="454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Binary Safety Gate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Immediate pass/fail for high-risk behavioral failures: escalation, harm, manipulation, boundary violations.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8 Weighted Behavioral Dimensions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Structured scoring across escalation stability, vulnerable user handling, manipulation susceptibility, and multi-turn behavioral trajectory.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40"/>
        <w:gridCol w:w="3026"/>
        <w:gridCol w:w="140"/>
        <w:gridCol w:w="3028"/>
      </w:tblGrid>
      <w:tr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Benchmark Evidence</w:t>
            </w:r>
          </w:p>
          <w:p>
            <w:pPr>
              <w:spacing w:after="40" w:before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7B4FD4"/>
                <w:sz w:val="60"/>
                <w:szCs w:val="60"/>
              </w:rPr>
              <w:t xml:space="preserve">44.9%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706C88"/>
                <w:sz w:val="18"/>
                <w:szCs w:val="18"/>
              </w:rPr>
              <w:t xml:space="preserve">aggregate Safety Gate FAIL rate across evaluated frontier models</w:t>
            </w:r>
          </w:p>
          <w:p>
            <w:pPr>
              <w:spacing w:after="40" w:before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C9A87A"/>
                <w:sz w:val="60"/>
                <w:szCs w:val="60"/>
              </w:rPr>
              <w:t xml:space="preserve">54.7%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706C88"/>
                <w:sz w:val="18"/>
                <w:szCs w:val="18"/>
              </w:rPr>
              <w:t xml:space="preserve">emotional risk pattern prevalence across 21K+ evaluated outputs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Public Benchmark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Ikwe continuously evaluates frontier AI models, producing a public behavioral safety index.</w:t>
            </w:r>
          </w:p>
          <w:p>
            <w:pPr>
              <w:pBdr>
                <w:left w:val="single" w:color="9B72E8" w:sz="10" w:space="8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EQ Safety Score</w:t>
            </w:r>
          </w:p>
          <w:p>
            <w:pPr>
              <w:pBdr>
                <w:left w:val="single" w:color="9B72E8" w:sz="10" w:space="8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Safety Gate pass/fail</w:t>
            </w:r>
          </w:p>
          <w:p>
            <w:pPr>
              <w:pBdr>
                <w:left w:val="single" w:color="9B72E8" w:sz="10" w:space="8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Cross-model dimension comparisons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30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Ongoing Monitoring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Behavioral risk doesn't remain static. API-connected monitoring detects drift before it becomes a safety incident.</w:t>
            </w:r>
          </w:p>
          <w:p>
            <w:pPr>
              <w:pBdr>
                <w:left w:val="single" w:color="9B72E8" w:sz="10" w:space="8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Drift alerts and updated scoring</w:t>
            </w:r>
          </w:p>
          <w:p>
            <w:pPr>
              <w:pBdr>
                <w:left w:val="single" w:color="9B72E8" w:sz="10" w:space="8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Governance evidence for boards and regulators</w:t>
            </w:r>
          </w:p>
        </w:tc>
      </w:tr>
    </w:tbl>
    <w:p>
      <w:pPr>
        <w:pBdr>
          <w:bottom w:val="single" w:color="E4DFF5" w:sz="4" w:space="1"/>
        </w:pBdr>
        <w:spacing w:after="200" w:before="200"/>
        <w:jc w:val="left"/>
      </w:pPr>
      <w:r>
        <w:rPr>
          <w:rFonts w:ascii="Arial" w:cs="Arial" w:eastAsia="Arial" w:hAnsi="Arial"/>
          <w:color w:val="3D3755"/>
          <w:sz w:val="22"/>
          <w:szCs w:val="22"/>
        </w:rPr>
        <w:t xml:space="preserve"/>
      </w:r>
    </w:p>
    <w:p>
      <w:pPr>
        <w:spacing w:after="100" w:before="200"/>
        <w:jc w:val="left"/>
      </w:pPr>
      <w:r>
        <w:rPr>
          <w:rFonts w:ascii="Georgia" w:cs="Georgia" w:eastAsia="Georgia" w:hAnsi="Georgia"/>
          <w:b/>
          <w:bCs/>
          <w:color w:val="1A1228"/>
          <w:sz w:val="32"/>
          <w:szCs w:val="32"/>
        </w:rPr>
        <w:t xml:space="preserve">Why This Matters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40"/>
        <w:gridCol w:w="3026"/>
        <w:gridCol w:w="140"/>
        <w:gridCol w:w="3028"/>
      </w:tblGrid>
      <w:tr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3"/>
                <w:szCs w:val="23"/>
              </w:rPr>
              <w:t xml:space="preserve">Procurement Delays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0"/>
                <w:szCs w:val="20"/>
              </w:rPr>
              <w:t xml:space="preserve">One behavioral incident can halt procurement for 18+ months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3"/>
                <w:szCs w:val="23"/>
              </w:rPr>
              <w:t xml:space="preserve">Litigation Exposure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0"/>
                <w:szCs w:val="20"/>
              </w:rPr>
              <w:t xml:space="preserve">AI litigation is moving from edge case to precedent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30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3"/>
                <w:szCs w:val="23"/>
              </w:rPr>
              <w:t xml:space="preserve">Board Governance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0"/>
                <w:szCs w:val="20"/>
              </w:rPr>
              <w:t xml:space="preserve">Boards now require documented behavioral safety evidence</w:t>
            </w:r>
          </w:p>
        </w:tc>
      </w:tr>
    </w:tbl>
    <w:p>
      <w:pPr>
        <w:pBdr>
          <w:bottom w:val="single" w:color="E4DFF5" w:sz="4" w:space="1"/>
        </w:pBdr>
        <w:spacing w:after="200" w:before="200"/>
        <w:jc w:val="left"/>
      </w:pPr>
      <w:r>
        <w:rPr>
          <w:rFonts w:ascii="Arial" w:cs="Arial" w:eastAsia="Arial" w:hAnsi="Arial"/>
          <w:color w:val="3D37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80"/>
        <w:gridCol w:w="454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z w:val="23"/>
                <w:szCs w:val="23"/>
              </w:rPr>
              <w:t xml:space="preserve">Run a Behavioral Safety Audit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Evaluate your system using the EQ Safety Benchmark.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Baseline Safety Gate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Full EQ Safety Benchmark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Failure pattern analysis and remediation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D3755"/>
                <w:sz w:val="21"/>
                <w:szCs w:val="21"/>
              </w:rPr>
              <w:t xml:space="preserve">Comparison to frontier model EQ safety scores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FD4"/>
                <w:spacing w:val="80"/>
                <w:sz w:val="17"/>
                <w:szCs w:val="17"/>
              </w:rPr>
              <w:t xml:space="preserve">SAMPLE DELIVERABLE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3"/>
                <w:szCs w:val="23"/>
              </w:rPr>
              <w:t xml:space="preserve">EQ Safety Benchmark v2.0 — Executive Excerpt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00"/>
            </w:tblGrid>
            <w:tr>
              <w:tc>
                <w:tcPr>
                  <w:tcW w:type="dxa" w:w="4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EFFB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7B4FD4"/>
                      <w:sz w:val="36"/>
                      <w:szCs w:val="36"/>
                    </w:rPr>
                    <w:t xml:space="preserve">73%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706C88"/>
                      <w:sz w:val="18"/>
                      <w:szCs w:val="18"/>
                    </w:rPr>
                    <w:t xml:space="preserve">Overall safety score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00"/>
            </w:tblGrid>
            <w:tr>
              <w:tc>
                <w:tcPr>
                  <w:tcW w:type="dxa" w:w="4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EFFB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7B4FD4"/>
                      <w:sz w:val="36"/>
                      <w:szCs w:val="36"/>
                    </w:rPr>
                    <w:t xml:space="preserve">Tier II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706C88"/>
                      <w:sz w:val="18"/>
                      <w:szCs w:val="18"/>
                    </w:rPr>
                    <w:t xml:space="preserve">Risk classification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00"/>
            </w:tblGrid>
            <w:tr>
              <w:tc>
                <w:tcPr>
                  <w:tcW w:type="dxa" w:w="4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EFFB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7B4FD4"/>
                      <w:sz w:val="36"/>
                      <w:szCs w:val="36"/>
                    </w:rPr>
                    <w:t xml:space="preserve">4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706C88"/>
                      <w:sz w:val="18"/>
                      <w:szCs w:val="18"/>
                    </w:rPr>
                    <w:t xml:space="preserve">Priority remediation controls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Arial" w:cs="Arial" w:eastAsia="Arial" w:hAnsi="Arial"/>
                <w:color w:val="3D3755"/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706C88"/>
                <w:sz w:val="19"/>
                <w:szCs w:val="19"/>
              </w:rPr>
              <w:t xml:space="preserve">Establish your behavioral safety record before deployment risk becomes governance risk.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228"/>
                <w:sz w:val="21"/>
                <w:szCs w:val="21"/>
              </w:rPr>
              <w:t xml:space="preserve">Request evaluation → </w:t>
            </w:r>
            <w:r>
              <w:rPr>
                <w:rFonts w:ascii="Arial" w:cs="Arial" w:eastAsia="Arial" w:hAnsi="Arial"/>
                <w:b/>
                <w:bCs/>
                <w:color w:val="7B4FD4"/>
                <w:sz w:val="21"/>
                <w:szCs w:val="21"/>
              </w:rPr>
              <w:t xml:space="preserve">ikwe.ai/intake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60" w:bottom="100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FF5" w:sz="2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706C88"/>
        <w:sz w:val="16"/>
        <w:szCs w:val="16"/>
      </w:rPr>
      <w:t xml:space="preserve">ikwe.ai  ·  Independent Behavioral Safety Evaluation</w:t>
    </w:r>
    <w:r>
      <w:rPr>
        <w:rFonts w:ascii="Arial" w:cs="Arial" w:eastAsia="Arial" w:hAnsi="Arial"/>
        <w:color w:val="3D3755"/>
        <w:sz w:val="16"/>
        <w:szCs w:val="16"/>
      </w:rPr>
      <w:t xml:space="preserve">	</w:t>
    </w:r>
    <w:r>
      <w:rPr>
        <w:rFonts w:ascii="Arial" w:cs="Arial" w:eastAsia="Arial" w:hAnsi="Arial"/>
        <w:color w:val="706C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4FD4" w:sz="6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7B4FD4"/>
        <w:spacing w:val="100"/>
        <w:sz w:val="18"/>
        <w:szCs w:val="18"/>
      </w:rPr>
      <w:t xml:space="preserve">IKWE.AI</w:t>
    </w:r>
    <w:r>
      <w:rPr>
        <w:rFonts w:ascii="Arial" w:cs="Arial" w:eastAsia="Arial" w:hAnsi="Arial"/>
        <w:color w:val="706C88"/>
        <w:sz w:val="18"/>
        <w:szCs w:val="18"/>
      </w:rPr>
      <w:t xml:space="preserve">	Behavioral Safety for Human-Facing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Arial" w:cs="Arial" w:eastAsia="Arial" w:hAnsi="Arial"/>
        <w:color w:val="7B4FD4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7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2026-03-07T19:32:39.623Z</dcterms:created>
  <dcterms:modified xsi:type="dcterms:W3CDTF">2026-03-07T19:32:39.623Z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