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BFE60" w14:textId="1A2E4B7C" w:rsidR="0063781B" w:rsidRPr="00047F40" w:rsidRDefault="00924BE0" w:rsidP="009B7C27">
      <w:pPr>
        <w:rPr>
          <w:rFonts w:ascii="Open Sans" w:eastAsia="Times New Roman" w:hAnsi="Open Sans" w:cs="Open Sans"/>
          <w:b/>
          <w:bCs/>
          <w:color w:val="555555"/>
          <w:sz w:val="20"/>
          <w:szCs w:val="20"/>
          <w:shd w:val="clear" w:color="auto" w:fill="FFFFFF"/>
        </w:rPr>
      </w:pPr>
      <w:r>
        <w:rPr>
          <w:rFonts w:ascii="Open Sans" w:eastAsia="Times New Roman" w:hAnsi="Open Sans" w:cs="Open Sans"/>
          <w:b/>
          <w:bCs/>
          <w:color w:val="555555"/>
          <w:sz w:val="20"/>
          <w:szCs w:val="20"/>
          <w:shd w:val="clear" w:color="auto" w:fill="FFFFFF"/>
        </w:rPr>
        <w:t>1</w:t>
      </w:r>
      <w:r w:rsidR="00047F40">
        <w:rPr>
          <w:rFonts w:ascii="Open Sans" w:eastAsia="Times New Roman" w:hAnsi="Open Sans" w:cs="Open Sans"/>
          <w:b/>
          <w:bCs/>
          <w:color w:val="555555"/>
          <w:sz w:val="20"/>
          <w:szCs w:val="20"/>
          <w:shd w:val="clear" w:color="auto" w:fill="FFFFFF"/>
        </w:rPr>
        <w:t xml:space="preserve">. </w:t>
      </w:r>
      <w:r w:rsidR="0063781B" w:rsidRPr="00047F40">
        <w:rPr>
          <w:rFonts w:ascii="Open Sans" w:eastAsia="Times New Roman" w:hAnsi="Open Sans" w:cs="Open Sans"/>
          <w:b/>
          <w:bCs/>
          <w:color w:val="555555"/>
          <w:sz w:val="20"/>
          <w:szCs w:val="20"/>
          <w:shd w:val="clear" w:color="auto" w:fill="FFFFFF"/>
        </w:rPr>
        <w:t xml:space="preserve">Please determine is it economically viable to replace an CFL lamp with an LED lamp? Use the </w:t>
      </w:r>
      <w:proofErr w:type="spellStart"/>
      <w:r w:rsidR="0063781B" w:rsidRPr="00047F40">
        <w:rPr>
          <w:rFonts w:ascii="Open Sans" w:eastAsia="Times New Roman" w:hAnsi="Open Sans" w:cs="Open Sans"/>
          <w:b/>
          <w:bCs/>
          <w:color w:val="555555"/>
          <w:sz w:val="20"/>
          <w:szCs w:val="20"/>
          <w:shd w:val="clear" w:color="auto" w:fill="FFFFFF"/>
        </w:rPr>
        <w:t>levelized</w:t>
      </w:r>
      <w:proofErr w:type="spellEnd"/>
      <w:r w:rsidR="0063781B" w:rsidRPr="00047F40">
        <w:rPr>
          <w:rFonts w:ascii="Open Sans" w:eastAsia="Times New Roman" w:hAnsi="Open Sans" w:cs="Open Sans"/>
          <w:b/>
          <w:bCs/>
          <w:color w:val="555555"/>
          <w:sz w:val="20"/>
          <w:szCs w:val="20"/>
          <w:shd w:val="clear" w:color="auto" w:fill="FFFFFF"/>
        </w:rPr>
        <w:t xml:space="preserve"> cost method to determine the cost of lighting in </w:t>
      </w:r>
      <w:proofErr w:type="spellStart"/>
      <w:r w:rsidR="0063781B" w:rsidRPr="00047F40">
        <w:rPr>
          <w:rFonts w:ascii="Open Sans" w:eastAsia="Times New Roman" w:hAnsi="Open Sans" w:cs="Open Sans"/>
          <w:b/>
          <w:bCs/>
          <w:color w:val="555555"/>
          <w:sz w:val="20"/>
          <w:szCs w:val="20"/>
          <w:shd w:val="clear" w:color="auto" w:fill="FFFFFF"/>
        </w:rPr>
        <w:t>Rp</w:t>
      </w:r>
      <w:proofErr w:type="spellEnd"/>
      <w:r w:rsidR="0063781B" w:rsidRPr="00047F40">
        <w:rPr>
          <w:rFonts w:ascii="Open Sans" w:eastAsia="Times New Roman" w:hAnsi="Open Sans" w:cs="Open Sans"/>
          <w:b/>
          <w:bCs/>
          <w:color w:val="555555"/>
          <w:sz w:val="20"/>
          <w:szCs w:val="20"/>
          <w:shd w:val="clear" w:color="auto" w:fill="FFFFFF"/>
        </w:rPr>
        <w:t>/lumen using following data</w:t>
      </w:r>
    </w:p>
    <w:p w14:paraId="46EBCFEA" w14:textId="4BD6C4E2" w:rsidR="0063781B" w:rsidRDefault="0063781B" w:rsidP="009B7C27">
      <w:pPr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EC3E342" wp14:editId="41483CDA">
            <wp:extent cx="5943600" cy="1253490"/>
            <wp:effectExtent l="0" t="0" r="0" b="3810"/>
            <wp:docPr id="104865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57233" name="Picture 10486572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DA3A" w14:textId="62312B1C" w:rsidR="0063781B" w:rsidRPr="0006711E" w:rsidRDefault="00D60544" w:rsidP="009B7C27">
      <w:pPr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="Times New Roman" w:hAnsi="Cambria Math" w:cs="Open Sans"/>
              <w:color w:val="555555"/>
              <w:sz w:val="20"/>
              <w:szCs w:val="20"/>
              <w:shd w:val="clear" w:color="auto" w:fill="FFFFFF"/>
            </w:rPr>
            <m:t>LCOA=</m:t>
          </m:r>
          <m:f>
            <m:fPr>
              <m:ctrlPr>
                <w:rPr>
                  <w:rFonts w:ascii="Cambria Math" w:eastAsia="Times New Roman" w:hAnsi="Cambria Math" w:cs="Open Sans"/>
                  <w:i/>
                  <w:color w:val="555555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Open Sans"/>
                  <w:color w:val="555555"/>
                  <w:sz w:val="20"/>
                  <w:szCs w:val="20"/>
                  <w:shd w:val="clear" w:color="auto" w:fill="FFFFFF"/>
                </w:rPr>
                <m:t>Investment cost+Lifetime energy cost</m:t>
              </m:r>
            </m:num>
            <m:den>
              <m:r>
                <w:rPr>
                  <w:rFonts w:ascii="Cambria Math" w:eastAsia="Times New Roman" w:hAnsi="Cambria Math" w:cs="Open Sans"/>
                  <w:color w:val="555555"/>
                  <w:sz w:val="20"/>
                  <w:szCs w:val="20"/>
                  <w:shd w:val="clear" w:color="auto" w:fill="FFFFFF"/>
                </w:rPr>
                <m:t>Lifetime Lumen</m:t>
              </m:r>
            </m:den>
          </m:f>
        </m:oMath>
      </m:oMathPara>
    </w:p>
    <w:p w14:paraId="07A56ACF" w14:textId="117D6E7F" w:rsidR="0006711E" w:rsidRPr="00355687" w:rsidRDefault="0006711E" w:rsidP="009B7C27">
      <w:pPr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="Times New Roman" w:hAnsi="Cambria Math" w:cs="Open Sans"/>
              <w:color w:val="555555"/>
              <w:sz w:val="20"/>
              <w:szCs w:val="20"/>
              <w:shd w:val="clear" w:color="auto" w:fill="FFFFFF"/>
            </w:rPr>
            <m:t>LCOA=</m:t>
          </m:r>
          <m:f>
            <m:fPr>
              <m:ctrlPr>
                <w:rPr>
                  <w:rFonts w:ascii="Cambria Math" w:eastAsia="Times New Roman" w:hAnsi="Cambria Math" w:cs="Open Sans"/>
                  <w:i/>
                  <w:color w:val="555555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Open Sans"/>
                  <w:color w:val="555555"/>
                  <w:sz w:val="20"/>
                  <w:szCs w:val="20"/>
                  <w:shd w:val="clear" w:color="auto" w:fill="FFFFFF"/>
                </w:rPr>
                <m:t>Investment cost+</m:t>
              </m:r>
              <m:d>
                <m:dPr>
                  <m:ctrlPr>
                    <w:rPr>
                      <w:rFonts w:ascii="Cambria Math" w:eastAsia="Times New Roman" w:hAnsi="Cambria Math" w:cs="Open Sans"/>
                      <w:i/>
                      <w:color w:val="555555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Times New Roman" w:hAnsi="Cambria Math" w:cs="Open Sans"/>
                      <w:color w:val="555555"/>
                      <w:sz w:val="20"/>
                      <w:szCs w:val="20"/>
                      <w:shd w:val="clear" w:color="auto" w:fill="FFFFFF"/>
                    </w:rPr>
                    <m:t>Electricity price*Power*Lifetime</m:t>
                  </m:r>
                </m:e>
              </m:d>
            </m:num>
            <m:den>
              <m:r>
                <w:rPr>
                  <w:rFonts w:ascii="Cambria Math" w:eastAsia="Times New Roman" w:hAnsi="Cambria Math" w:cs="Open Sans"/>
                  <w:color w:val="555555"/>
                  <w:sz w:val="20"/>
                  <w:szCs w:val="20"/>
                  <w:shd w:val="clear" w:color="auto" w:fill="FFFFFF"/>
                </w:rPr>
                <m:t>Luminous efficacy*Lifetime</m:t>
              </m:r>
            </m:den>
          </m:f>
        </m:oMath>
      </m:oMathPara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21"/>
        <w:gridCol w:w="4321"/>
      </w:tblGrid>
      <w:tr w:rsidR="004E1462" w14:paraId="2035CE7B" w14:textId="77777777" w:rsidTr="00A13019">
        <w:trPr>
          <w:trHeight w:val="272"/>
          <w:jc w:val="center"/>
        </w:trPr>
        <w:tc>
          <w:tcPr>
            <w:tcW w:w="4321" w:type="dxa"/>
          </w:tcPr>
          <w:p w14:paraId="2C69979D" w14:textId="5CD21FD6" w:rsidR="004E1462" w:rsidRPr="00C75637" w:rsidRDefault="004E1462" w:rsidP="00C75637">
            <w:pPr>
              <w:jc w:val="center"/>
              <w:rPr>
                <w:rFonts w:ascii="Open Sans" w:eastAsia="Times New Roman" w:hAnsi="Open Sans" w:cs="Open Sans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  <w:r w:rsidRPr="00C75637">
              <w:rPr>
                <w:rFonts w:ascii="Open Sans" w:eastAsia="Times New Roman" w:hAnsi="Open Sans" w:cs="Open Sans"/>
                <w:b/>
                <w:bCs/>
                <w:color w:val="555555"/>
                <w:sz w:val="20"/>
                <w:szCs w:val="20"/>
                <w:shd w:val="clear" w:color="auto" w:fill="FFFFFF"/>
              </w:rPr>
              <w:t>CFL lamp</w:t>
            </w:r>
          </w:p>
        </w:tc>
        <w:tc>
          <w:tcPr>
            <w:tcW w:w="4321" w:type="dxa"/>
          </w:tcPr>
          <w:p w14:paraId="69EA31FC" w14:textId="1C137B0A" w:rsidR="004E1462" w:rsidRPr="00C75637" w:rsidRDefault="004E1462" w:rsidP="00C75637">
            <w:pPr>
              <w:jc w:val="center"/>
              <w:rPr>
                <w:rFonts w:ascii="Open Sans" w:eastAsia="Times New Roman" w:hAnsi="Open Sans" w:cs="Open Sans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  <w:r w:rsidRPr="00C75637">
              <w:rPr>
                <w:rFonts w:ascii="Open Sans" w:eastAsia="Times New Roman" w:hAnsi="Open Sans" w:cs="Open Sans"/>
                <w:b/>
                <w:bCs/>
                <w:color w:val="555555"/>
                <w:sz w:val="20"/>
                <w:szCs w:val="20"/>
                <w:shd w:val="clear" w:color="auto" w:fill="FFFFFF"/>
              </w:rPr>
              <w:t>LED lamp</w:t>
            </w:r>
          </w:p>
        </w:tc>
      </w:tr>
      <w:tr w:rsidR="004E1462" w14:paraId="4BA80902" w14:textId="77777777" w:rsidTr="00A13019">
        <w:trPr>
          <w:trHeight w:val="272"/>
          <w:jc w:val="center"/>
        </w:trPr>
        <w:tc>
          <w:tcPr>
            <w:tcW w:w="4321" w:type="dxa"/>
          </w:tcPr>
          <w:p w14:paraId="552C8F54" w14:textId="11FE20E6" w:rsidR="004E1462" w:rsidRPr="00A13019" w:rsidRDefault="004E1462" w:rsidP="00924BE0">
            <w:pPr>
              <w:spacing w:line="36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Open Sans"/>
                    <w:color w:val="555555"/>
                    <w:sz w:val="20"/>
                    <w:szCs w:val="20"/>
                    <w:shd w:val="clear" w:color="auto" w:fill="FFFFFF"/>
                  </w:rPr>
                  <m:t>LCOA=</m:t>
                </m:r>
                <m:f>
                  <m:fPr>
                    <m:ctrlPr>
                      <w:rPr>
                        <w:rFonts w:ascii="Cambria Math" w:eastAsia="Times New Roman" w:hAnsi="Cambria Math" w:cs="Open Sans"/>
                        <w:i/>
                        <w:color w:val="555555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Open Sans"/>
                        <w:color w:val="555555"/>
                        <w:sz w:val="20"/>
                        <w:szCs w:val="20"/>
                        <w:shd w:val="clear" w:color="auto" w:fill="FFFFFF"/>
                      </w:rPr>
                      <m:t>24000+</m:t>
                    </m:r>
                    <m:d>
                      <m:dPr>
                        <m:ctrlPr>
                          <w:rPr>
                            <w:rFonts w:ascii="Cambria Math" w:eastAsia="Times New Roman" w:hAnsi="Cambria Math" w:cs="Open Sans"/>
                            <w:i/>
                            <w:color w:val="555555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Open Sans"/>
                            <w:color w:val="555555"/>
                            <w:sz w:val="20"/>
                            <w:szCs w:val="20"/>
                            <w:shd w:val="clear" w:color="auto" w:fill="FFFFFF"/>
                          </w:rPr>
                          <m:t>1400*0.02*8000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Open Sans"/>
                        <w:color w:val="555555"/>
                        <w:sz w:val="20"/>
                        <w:szCs w:val="20"/>
                        <w:shd w:val="clear" w:color="auto" w:fill="FFFFFF"/>
                      </w:rPr>
                      <m:t>1220*8000</m:t>
                    </m:r>
                  </m:den>
                </m:f>
              </m:oMath>
            </m:oMathPara>
          </w:p>
          <w:p w14:paraId="4B3F08A5" w14:textId="55E9890C" w:rsidR="00360C2D" w:rsidRPr="00A13019" w:rsidRDefault="00360C2D" w:rsidP="00924BE0">
            <w:pPr>
              <w:spacing w:line="36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Open Sans"/>
                    <w:color w:val="555555"/>
                    <w:sz w:val="20"/>
                    <w:szCs w:val="20"/>
                    <w:shd w:val="clear" w:color="auto" w:fill="FFFFFF"/>
                  </w:rPr>
                  <m:t>LCOA=Rp 0.025 /Lumen</m:t>
                </m:r>
              </m:oMath>
            </m:oMathPara>
          </w:p>
        </w:tc>
        <w:tc>
          <w:tcPr>
            <w:tcW w:w="4321" w:type="dxa"/>
          </w:tcPr>
          <w:p w14:paraId="59B4CCF1" w14:textId="36188E4C" w:rsidR="004E1462" w:rsidRPr="00A13019" w:rsidRDefault="00F144A3" w:rsidP="00924BE0">
            <w:pPr>
              <w:spacing w:line="36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Open Sans"/>
                    <w:color w:val="555555"/>
                    <w:sz w:val="20"/>
                    <w:szCs w:val="20"/>
                    <w:shd w:val="clear" w:color="auto" w:fill="FFFFFF"/>
                  </w:rPr>
                  <m:t>LCOA=</m:t>
                </m:r>
                <m:f>
                  <m:fPr>
                    <m:ctrlPr>
                      <w:rPr>
                        <w:rFonts w:ascii="Cambria Math" w:eastAsia="Times New Roman" w:hAnsi="Cambria Math" w:cs="Open Sans"/>
                        <w:i/>
                        <w:color w:val="555555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Open Sans"/>
                        <w:color w:val="555555"/>
                        <w:sz w:val="20"/>
                        <w:szCs w:val="20"/>
                        <w:shd w:val="clear" w:color="auto" w:fill="FFFFFF"/>
                      </w:rPr>
                      <m:t>74900+</m:t>
                    </m:r>
                    <m:d>
                      <m:dPr>
                        <m:ctrlPr>
                          <w:rPr>
                            <w:rFonts w:ascii="Cambria Math" w:eastAsia="Times New Roman" w:hAnsi="Cambria Math" w:cs="Open Sans"/>
                            <w:i/>
                            <w:color w:val="555555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Open Sans"/>
                            <w:color w:val="555555"/>
                            <w:sz w:val="20"/>
                            <w:szCs w:val="20"/>
                            <w:shd w:val="clear" w:color="auto" w:fill="FFFFFF"/>
                          </w:rPr>
                          <m:t>1400*0.02*25000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Open Sans"/>
                        <w:color w:val="555555"/>
                        <w:sz w:val="20"/>
                        <w:szCs w:val="20"/>
                        <w:shd w:val="clear" w:color="auto" w:fill="FFFFFF"/>
                      </w:rPr>
                      <m:t>2350*25000</m:t>
                    </m:r>
                  </m:den>
                </m:f>
              </m:oMath>
            </m:oMathPara>
          </w:p>
          <w:p w14:paraId="4C3B721D" w14:textId="381B02AF" w:rsidR="007B77A8" w:rsidRPr="00A13019" w:rsidRDefault="007B77A8" w:rsidP="00924BE0">
            <w:pPr>
              <w:spacing w:line="36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Open Sans"/>
                    <w:color w:val="555555"/>
                    <w:sz w:val="20"/>
                    <w:szCs w:val="20"/>
                    <w:shd w:val="clear" w:color="auto" w:fill="FFFFFF"/>
                  </w:rPr>
                  <m:t>LCOA=Rp 0.013 /Lumen</m:t>
                </m:r>
              </m:oMath>
            </m:oMathPara>
          </w:p>
        </w:tc>
      </w:tr>
    </w:tbl>
    <w:p w14:paraId="04A3C234" w14:textId="2E0F6254" w:rsidR="00355687" w:rsidRDefault="00E02399" w:rsidP="00610D9E">
      <w:pPr>
        <w:spacing w:before="240"/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</w:pPr>
      <w:r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CFL lamp</w:t>
      </w:r>
      <w:r w:rsidR="008F0A65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s</w:t>
      </w:r>
      <w:r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ha</w:t>
      </w:r>
      <w:r w:rsidR="008F0A65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ve</w:t>
      </w:r>
      <w:r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lower LCOA </w:t>
      </w:r>
      <w:r w:rsidR="008F0A65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(</w:t>
      </w:r>
      <w:proofErr w:type="spellStart"/>
      <w:r w:rsidR="008F0A65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Rp</w:t>
      </w:r>
      <w:proofErr w:type="spellEnd"/>
      <w:r w:rsidR="008F0A65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/lumen) </w:t>
      </w:r>
      <w:r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as compared to LED lamp</w:t>
      </w:r>
      <w:r w:rsidR="008F0A65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s</w:t>
      </w:r>
      <w:r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. Hence, it is </w:t>
      </w:r>
      <w:r w:rsidRPr="00610D9E">
        <w:rPr>
          <w:rFonts w:ascii="Open Sans" w:eastAsia="Times New Roman" w:hAnsi="Open Sans" w:cs="Open Sans"/>
          <w:b/>
          <w:bCs/>
          <w:color w:val="555555"/>
          <w:sz w:val="20"/>
          <w:szCs w:val="20"/>
          <w:shd w:val="clear" w:color="auto" w:fill="FFFFFF"/>
        </w:rPr>
        <w:t>not</w:t>
      </w:r>
      <w:r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economically </w:t>
      </w:r>
      <w:r w:rsidR="008F0A65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viable to replace</w:t>
      </w:r>
      <w:r w:rsidR="00610D9E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it with LED lamp.</w:t>
      </w:r>
    </w:p>
    <w:p w14:paraId="7DEAA7C3" w14:textId="77777777" w:rsidR="00145E38" w:rsidRDefault="00145E38" w:rsidP="009B7C27">
      <w:pPr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</w:pPr>
    </w:p>
    <w:p w14:paraId="580A6F45" w14:textId="3F71AC80" w:rsidR="00145E38" w:rsidRPr="00047F40" w:rsidRDefault="00047F40" w:rsidP="009B7C27">
      <w:pPr>
        <w:rPr>
          <w:rFonts w:ascii="Open Sans" w:eastAsia="Times New Roman" w:hAnsi="Open Sans" w:cs="Open Sans"/>
          <w:b/>
          <w:bCs/>
          <w:color w:val="555555"/>
          <w:sz w:val="20"/>
          <w:szCs w:val="20"/>
          <w:shd w:val="clear" w:color="auto" w:fill="FFFFFF"/>
        </w:rPr>
      </w:pPr>
      <w:r>
        <w:rPr>
          <w:rFonts w:ascii="Open Sans" w:eastAsia="Times New Roman" w:hAnsi="Open Sans" w:cs="Open Sans"/>
          <w:b/>
          <w:bCs/>
          <w:color w:val="555555"/>
          <w:sz w:val="20"/>
          <w:szCs w:val="20"/>
          <w:shd w:val="clear" w:color="auto" w:fill="FFFFFF"/>
        </w:rPr>
        <w:t xml:space="preserve">2. </w:t>
      </w:r>
      <w:r w:rsidR="0002056A" w:rsidRPr="00047F40">
        <w:rPr>
          <w:rFonts w:ascii="Open Sans" w:eastAsia="Times New Roman" w:hAnsi="Open Sans" w:cs="Open Sans"/>
          <w:b/>
          <w:bCs/>
          <w:color w:val="555555"/>
          <w:sz w:val="20"/>
          <w:szCs w:val="20"/>
          <w:shd w:val="clear" w:color="auto" w:fill="FFFFFF"/>
        </w:rPr>
        <w:t>Please elaborate the energy conservation strategy in industry sector! Also please compare it to the current Indonesia’s industrial practice.</w:t>
      </w:r>
    </w:p>
    <w:p w14:paraId="15139583" w14:textId="08DFC70D" w:rsidR="0076274F" w:rsidRDefault="00A06690" w:rsidP="00A6638F">
      <w:pPr>
        <w:jc w:val="both"/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</w:pPr>
      <w:r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A key </w:t>
      </w:r>
      <w:r w:rsidR="002445B8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step </w:t>
      </w:r>
      <w:r w:rsidR="00C52F7D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for energy conservation in</w:t>
      </w:r>
      <w:r w:rsidR="005B5DD0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industry sector is to conduct regular Energy Audit</w:t>
      </w:r>
      <w:r w:rsidR="009174BF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and apply Energy Management System within the company</w:t>
      </w:r>
      <w:r w:rsidR="0008298B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. </w:t>
      </w:r>
      <w:r w:rsidR="008D6B9B" w:rsidRPr="006F036A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C</w:t>
      </w:r>
      <w:r w:rsidR="00F86058" w:rsidRPr="006F036A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onstant monitoring </w:t>
      </w:r>
      <w:r w:rsidR="00A6638F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and evaluation </w:t>
      </w:r>
      <w:r w:rsidR="00F86058" w:rsidRPr="006F036A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of energy utilization help</w:t>
      </w:r>
      <w:r w:rsidR="008D6B9B" w:rsidRPr="006F036A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s</w:t>
      </w:r>
      <w:r w:rsidR="00F86058" w:rsidRPr="006F036A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identify</w:t>
      </w:r>
      <w:r w:rsidR="00297092" w:rsidRPr="006F036A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potential energy use</w:t>
      </w:r>
      <w:r w:rsidR="00627C06" w:rsidRPr="006F036A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r w:rsidR="005113E5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optimization and </w:t>
      </w:r>
      <w:r w:rsidR="00754666" w:rsidRPr="00754666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is one of the most effective </w:t>
      </w:r>
      <w:r w:rsidR="005455B5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strategies</w:t>
      </w:r>
      <w:r w:rsidR="004268D7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in</w:t>
      </w:r>
      <w:r w:rsidR="00754666" w:rsidRPr="00754666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reduc</w:t>
      </w:r>
      <w:r w:rsidR="004268D7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ing</w:t>
      </w:r>
      <w:r w:rsidR="00754666" w:rsidRPr="00754666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energy consumption and costs</w:t>
      </w:r>
      <w:r w:rsidR="00A6638F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.</w:t>
      </w:r>
      <w:r w:rsidR="0019501D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r w:rsidR="009030D2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Putting it into actions, </w:t>
      </w:r>
      <w:r w:rsidR="00514653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shifting to </w:t>
      </w:r>
      <w:r w:rsidR="00231A71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energy-efficient technologies such as </w:t>
      </w:r>
      <w:r w:rsidR="004D0E7D" w:rsidRPr="004D0E7D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high-efficiency lighting and HVAC systems</w:t>
      </w:r>
      <w:r w:rsidR="004D0E7D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r w:rsidR="004D0E7D" w:rsidRPr="004D0E7D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can reduce energy consumption</w:t>
      </w:r>
      <w:r w:rsidR="004D0E7D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.</w:t>
      </w:r>
      <w:r w:rsidR="00020076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For </w:t>
      </w:r>
      <w:r w:rsidR="004D0E7D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processing industries, </w:t>
      </w:r>
      <w:r w:rsidR="00A717DC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p</w:t>
      </w:r>
      <w:r w:rsidR="00694F26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rocess</w:t>
      </w:r>
      <w:r w:rsidR="00A717DC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A717DC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optmization</w:t>
      </w:r>
      <w:proofErr w:type="spellEnd"/>
      <w:r w:rsidR="00B07713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, including upgrading equipment and </w:t>
      </w:r>
      <w:r w:rsidR="009E7EC0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recovering </w:t>
      </w:r>
      <w:r w:rsidR="000B78E9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waste heat,</w:t>
      </w:r>
      <w:r w:rsidR="00694F26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also helps in significantly</w:t>
      </w:r>
      <w:r w:rsidR="002765D1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cut-off energy use by</w:t>
      </w:r>
      <w:r w:rsidR="00694F26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r w:rsidR="006B7A40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improv</w:t>
      </w:r>
      <w:r w:rsidR="002765D1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ing</w:t>
      </w:r>
      <w:r w:rsidR="00020076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r w:rsidR="006B7A40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efficiency</w:t>
      </w:r>
      <w:r w:rsidR="00020076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. </w:t>
      </w:r>
      <w:r w:rsidR="00D504F8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Increasing employees’ awareness </w:t>
      </w:r>
      <w:r w:rsidR="00397D7A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and encouraging their participation </w:t>
      </w:r>
      <w:r w:rsidR="00334655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on </w:t>
      </w:r>
      <w:r w:rsidR="001A598D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energy</w:t>
      </w:r>
      <w:r w:rsidR="00DC465A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-</w:t>
      </w:r>
      <w:r w:rsidR="00334655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saving also play a crucial </w:t>
      </w:r>
      <w:r w:rsidR="00DC465A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role to conserve energy, not only in industrial sector</w:t>
      </w:r>
      <w:r w:rsidR="00650F9A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, but also in other sectors especially household.</w:t>
      </w:r>
    </w:p>
    <w:p w14:paraId="4E5263B0" w14:textId="59522AD6" w:rsidR="001B5B39" w:rsidRDefault="00200C22" w:rsidP="00A6638F">
      <w:pPr>
        <w:jc w:val="both"/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</w:pPr>
      <w:r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Aside from </w:t>
      </w:r>
      <w:r w:rsidR="00E361BB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reducing energy use, energy conservation in industrial sector can also be done by switching into cleaner energy</w:t>
      </w:r>
      <w:r w:rsidR="00CE0F6A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source</w:t>
      </w:r>
      <w:r w:rsidR="00E361BB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. </w:t>
      </w:r>
      <w:r w:rsidR="00E55E4E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Application </w:t>
      </w:r>
      <w:r w:rsidR="00E361BB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renewable energy </w:t>
      </w:r>
      <w:r w:rsidR="00AA71E8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like</w:t>
      </w:r>
      <w:r w:rsidR="00E361BB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solar PV </w:t>
      </w:r>
      <w:r w:rsidR="00AA71E8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or </w:t>
      </w:r>
      <w:r w:rsidR="00EA653B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w</w:t>
      </w:r>
      <w:r w:rsidR="00AA71E8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ind </w:t>
      </w:r>
      <w:r w:rsidR="00160D91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to supply energy </w:t>
      </w:r>
      <w:r w:rsidR="00AA71E8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for</w:t>
      </w:r>
      <w:r w:rsidR="005704C3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industries </w:t>
      </w:r>
      <w:r w:rsidR="001500D1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can</w:t>
      </w:r>
      <w:r w:rsidR="005704C3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r w:rsidR="0050235F" w:rsidRPr="0050235F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reduce reliance on fossil fuels and</w:t>
      </w:r>
      <w:r w:rsidR="00E55E4E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increase energy security. In</w:t>
      </w:r>
      <w:r w:rsidR="00D8085B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many countries,</w:t>
      </w:r>
      <w:r w:rsidR="00E55E4E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integration with renewable energy </w:t>
      </w:r>
      <w:r w:rsidR="00B950BF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is usually supported by government</w:t>
      </w:r>
      <w:r w:rsidR="001F73F0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because it </w:t>
      </w:r>
      <w:r w:rsidR="0050235F" w:rsidRPr="0050235F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lower</w:t>
      </w:r>
      <w:r w:rsidR="00AA71E8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s</w:t>
      </w:r>
      <w:r w:rsidR="0050235F" w:rsidRPr="0050235F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greenhouse gas emissions.</w:t>
      </w:r>
      <w:r w:rsidR="001500D1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r w:rsidR="00AA71E8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Regulations such as </w:t>
      </w:r>
      <w:r w:rsidR="00B71A08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e</w:t>
      </w:r>
      <w:r w:rsidR="00B71A08" w:rsidRPr="00B71A08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nergy efficiency standards, tax incentives, and grants </w:t>
      </w:r>
      <w:r w:rsidR="00B71A08" w:rsidRPr="00B71A08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lastRenderedPageBreak/>
        <w:t>for energy-saving projects can create an enabling environment for industries to adopt energy-efficient practices</w:t>
      </w:r>
      <w:r w:rsidR="001B5B39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.</w:t>
      </w:r>
    </w:p>
    <w:p w14:paraId="437636AB" w14:textId="36A3029E" w:rsidR="005455B5" w:rsidRPr="006F036A" w:rsidRDefault="00B97202" w:rsidP="00A6638F">
      <w:pPr>
        <w:jc w:val="both"/>
        <w:rPr>
          <w:rFonts w:ascii="Open Sans" w:eastAsia="Batang" w:hAnsi="Open Sans" w:cs="Open Sans"/>
          <w:color w:val="555555"/>
          <w:sz w:val="20"/>
          <w:szCs w:val="20"/>
          <w:shd w:val="clear" w:color="auto" w:fill="FFFFFF"/>
          <w:lang w:val="en-US" w:eastAsia="ko-KR"/>
        </w:rPr>
      </w:pPr>
      <w:r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M</w:t>
      </w:r>
      <w:r w:rsidR="00514251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ost of these strategies have started to </w:t>
      </w:r>
      <w:r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be adapted by large companies in Indonesia. However,</w:t>
      </w:r>
      <w:r w:rsidR="005455B5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r w:rsidR="00723BC2" w:rsidRPr="00723BC2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many small and medium-sized enterprises (SMEs) lack the resources and expertise to implement these </w:t>
      </w:r>
      <w:r w:rsidR="00C97B90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strategies</w:t>
      </w:r>
      <w:r w:rsidR="00723BC2" w:rsidRPr="00723BC2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effectively.</w:t>
      </w:r>
      <w:r w:rsidR="006907F3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Th</w:t>
      </w:r>
      <w:r w:rsidR="00DB3229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is case is especially evident for </w:t>
      </w:r>
      <w:r w:rsidR="00C97B90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process optimization wh</w:t>
      </w:r>
      <w:r w:rsidR="007B5735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ere </w:t>
      </w:r>
      <w:r w:rsidR="00C2357F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many</w:t>
      </w:r>
      <w:r w:rsidR="007B5735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SMEs still rely on traditional </w:t>
      </w:r>
      <w:r w:rsidR="00C2357F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methods</w:t>
      </w:r>
      <w:r w:rsidR="00B34094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because of the high cost for </w:t>
      </w:r>
      <w:r w:rsidR="00E42376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advanced technology</w:t>
      </w:r>
      <w:r w:rsidR="00C2357F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.</w:t>
      </w:r>
      <w:r w:rsidR="00891CCB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r w:rsidR="001A08A0" w:rsidRPr="001A08A0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T</w:t>
      </w:r>
      <w:r w:rsidR="004B5140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o</w:t>
      </w:r>
      <w:r w:rsidR="004B5140" w:rsidRPr="001A08A0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reduc</w:t>
      </w:r>
      <w:r w:rsidR="004B5140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e</w:t>
      </w:r>
      <w:r w:rsidR="004B5140" w:rsidRPr="001A08A0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 energy intensity and fostering sustainable practices</w:t>
      </w:r>
      <w:r w:rsidR="004B5140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, the </w:t>
      </w:r>
      <w:r w:rsidR="001A08A0" w:rsidRPr="001A08A0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Indonesian government has </w:t>
      </w:r>
      <w:r w:rsidR="00A717DC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 xml:space="preserve">also </w:t>
      </w:r>
      <w:r w:rsidR="001A08A0" w:rsidRPr="001A08A0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implemented various policies to enhance energy efficiency, including the National Energy Policy (KEN) and the Energy Conservation Master Plan (RIKEN)</w:t>
      </w:r>
      <w:r w:rsidR="00743007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</w:rPr>
        <w:t>.</w:t>
      </w:r>
    </w:p>
    <w:sectPr w:rsidR="005455B5" w:rsidRPr="006F036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0BA26" w14:textId="77777777" w:rsidR="00355687" w:rsidRDefault="00355687" w:rsidP="00355687">
      <w:pPr>
        <w:spacing w:after="0" w:line="240" w:lineRule="auto"/>
      </w:pPr>
      <w:r>
        <w:separator/>
      </w:r>
    </w:p>
  </w:endnote>
  <w:endnote w:type="continuationSeparator" w:id="0">
    <w:p w14:paraId="3F72EC35" w14:textId="77777777" w:rsidR="00355687" w:rsidRDefault="00355687" w:rsidP="00355687">
      <w:pPr>
        <w:spacing w:after="0" w:line="240" w:lineRule="auto"/>
      </w:pPr>
      <w:r>
        <w:continuationSeparator/>
      </w:r>
    </w:p>
  </w:endnote>
  <w:endnote w:type="continuationNotice" w:id="1">
    <w:p w14:paraId="4542F4E0" w14:textId="77777777" w:rsidR="005704C3" w:rsidRDefault="005704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CD8E1" w14:textId="77777777" w:rsidR="00355687" w:rsidRDefault="00355687" w:rsidP="00355687">
      <w:pPr>
        <w:spacing w:after="0" w:line="240" w:lineRule="auto"/>
      </w:pPr>
      <w:r>
        <w:separator/>
      </w:r>
    </w:p>
  </w:footnote>
  <w:footnote w:type="continuationSeparator" w:id="0">
    <w:p w14:paraId="777DA1B8" w14:textId="77777777" w:rsidR="00355687" w:rsidRDefault="00355687" w:rsidP="00355687">
      <w:pPr>
        <w:spacing w:after="0" w:line="240" w:lineRule="auto"/>
      </w:pPr>
      <w:r>
        <w:continuationSeparator/>
      </w:r>
    </w:p>
  </w:footnote>
  <w:footnote w:type="continuationNotice" w:id="1">
    <w:p w14:paraId="2D977FB2" w14:textId="77777777" w:rsidR="005704C3" w:rsidRDefault="005704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2A9A9" w14:textId="7D724EB7" w:rsidR="00A41ABD" w:rsidRPr="00B10680" w:rsidRDefault="00A41ABD">
    <w:pPr>
      <w:pStyle w:val="Header"/>
      <w:rPr>
        <w:rFonts w:ascii="Abadi Extra Light" w:hAnsi="Abadi Extra Light"/>
        <w:sz w:val="20"/>
        <w:szCs w:val="20"/>
      </w:rPr>
    </w:pPr>
    <w:proofErr w:type="spellStart"/>
    <w:r w:rsidRPr="00B10680">
      <w:rPr>
        <w:rFonts w:ascii="Abadi Extra Light" w:hAnsi="Abadi Extra Light"/>
        <w:sz w:val="20"/>
        <w:szCs w:val="20"/>
        <w:lang w:val="en-US"/>
      </w:rPr>
      <w:t>Sabilassami</w:t>
    </w:r>
    <w:proofErr w:type="spellEnd"/>
    <w:r w:rsidRPr="00B10680">
      <w:rPr>
        <w:rFonts w:ascii="Abadi Extra Light" w:hAnsi="Abadi Extra Light"/>
        <w:sz w:val="20"/>
        <w:szCs w:val="20"/>
        <w:lang w:val="en-US"/>
      </w:rPr>
      <w:t xml:space="preserve"> </w:t>
    </w:r>
    <w:proofErr w:type="spellStart"/>
    <w:r w:rsidRPr="00B10680">
      <w:rPr>
        <w:rFonts w:ascii="Abadi Extra Light" w:hAnsi="Abadi Extra Light"/>
        <w:sz w:val="20"/>
        <w:szCs w:val="20"/>
        <w:lang w:val="en-US"/>
      </w:rPr>
      <w:t>Kartawiria</w:t>
    </w:r>
    <w:proofErr w:type="spellEnd"/>
    <w:r w:rsidR="00D76EB2" w:rsidRPr="00B10680">
      <w:rPr>
        <w:rFonts w:ascii="Abadi Extra Light" w:hAnsi="Abadi Extra Light"/>
        <w:sz w:val="20"/>
        <w:szCs w:val="20"/>
        <w:lang w:val="en-US"/>
      </w:rPr>
      <w:tab/>
      <w:t>TSE 2024</w:t>
    </w:r>
    <w:r w:rsidR="00D76EB2" w:rsidRPr="00B10680">
      <w:rPr>
        <w:rFonts w:ascii="Abadi Extra Light" w:hAnsi="Abadi Extra Light"/>
        <w:sz w:val="20"/>
        <w:szCs w:val="20"/>
        <w:lang w:val="en-US"/>
      </w:rPr>
      <w:tab/>
    </w:r>
    <w:r w:rsidR="00371D52" w:rsidRPr="00B10680">
      <w:rPr>
        <w:rFonts w:ascii="Abadi Extra Light" w:hAnsi="Abadi Extra Light"/>
        <w:sz w:val="20"/>
        <w:szCs w:val="20"/>
        <w:lang w:val="en-US"/>
      </w:rPr>
      <w:t>2406373492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6E30"/>
    <w:multiLevelType w:val="hybridMultilevel"/>
    <w:tmpl w:val="F49CA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2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98"/>
    <w:rsid w:val="00020076"/>
    <w:rsid w:val="0002056A"/>
    <w:rsid w:val="00047F40"/>
    <w:rsid w:val="0005073F"/>
    <w:rsid w:val="0006711E"/>
    <w:rsid w:val="0008298B"/>
    <w:rsid w:val="00087B45"/>
    <w:rsid w:val="000B78E9"/>
    <w:rsid w:val="000D752A"/>
    <w:rsid w:val="00130C9B"/>
    <w:rsid w:val="00145E38"/>
    <w:rsid w:val="001500D1"/>
    <w:rsid w:val="001577B9"/>
    <w:rsid w:val="00160D91"/>
    <w:rsid w:val="001844BE"/>
    <w:rsid w:val="0019501D"/>
    <w:rsid w:val="001A08A0"/>
    <w:rsid w:val="001A598D"/>
    <w:rsid w:val="001B5B39"/>
    <w:rsid w:val="001C54D6"/>
    <w:rsid w:val="001F73F0"/>
    <w:rsid w:val="00200C22"/>
    <w:rsid w:val="00231A71"/>
    <w:rsid w:val="002445B8"/>
    <w:rsid w:val="0025348B"/>
    <w:rsid w:val="00275F2C"/>
    <w:rsid w:val="002765D1"/>
    <w:rsid w:val="00297092"/>
    <w:rsid w:val="002D63E0"/>
    <w:rsid w:val="00323F69"/>
    <w:rsid w:val="003312E1"/>
    <w:rsid w:val="00334655"/>
    <w:rsid w:val="00355687"/>
    <w:rsid w:val="00355ACE"/>
    <w:rsid w:val="00360C2D"/>
    <w:rsid w:val="0036547A"/>
    <w:rsid w:val="00371D52"/>
    <w:rsid w:val="00372173"/>
    <w:rsid w:val="0038045E"/>
    <w:rsid w:val="00397D7A"/>
    <w:rsid w:val="004268D7"/>
    <w:rsid w:val="004B5140"/>
    <w:rsid w:val="004D0E7D"/>
    <w:rsid w:val="004E0353"/>
    <w:rsid w:val="004E1462"/>
    <w:rsid w:val="005010D4"/>
    <w:rsid w:val="0050235F"/>
    <w:rsid w:val="005113E5"/>
    <w:rsid w:val="00514251"/>
    <w:rsid w:val="00514653"/>
    <w:rsid w:val="00517ABF"/>
    <w:rsid w:val="005455B5"/>
    <w:rsid w:val="005704C3"/>
    <w:rsid w:val="00577BFF"/>
    <w:rsid w:val="005B5DD0"/>
    <w:rsid w:val="005D3630"/>
    <w:rsid w:val="00610D9E"/>
    <w:rsid w:val="00627C06"/>
    <w:rsid w:val="0063781B"/>
    <w:rsid w:val="00650F9A"/>
    <w:rsid w:val="006763C5"/>
    <w:rsid w:val="006907F3"/>
    <w:rsid w:val="0069408C"/>
    <w:rsid w:val="00694F26"/>
    <w:rsid w:val="006958EE"/>
    <w:rsid w:val="006B7A40"/>
    <w:rsid w:val="006F036A"/>
    <w:rsid w:val="006F4EFE"/>
    <w:rsid w:val="00723BC2"/>
    <w:rsid w:val="00743007"/>
    <w:rsid w:val="00754666"/>
    <w:rsid w:val="0076274F"/>
    <w:rsid w:val="007B5735"/>
    <w:rsid w:val="007B77A8"/>
    <w:rsid w:val="007C6C98"/>
    <w:rsid w:val="00864C0A"/>
    <w:rsid w:val="00891CCB"/>
    <w:rsid w:val="008D6B9B"/>
    <w:rsid w:val="008F0A65"/>
    <w:rsid w:val="009030D2"/>
    <w:rsid w:val="009174BF"/>
    <w:rsid w:val="00924BE0"/>
    <w:rsid w:val="00925985"/>
    <w:rsid w:val="009B1353"/>
    <w:rsid w:val="009B7C27"/>
    <w:rsid w:val="009E7EC0"/>
    <w:rsid w:val="00A06690"/>
    <w:rsid w:val="00A13019"/>
    <w:rsid w:val="00A36649"/>
    <w:rsid w:val="00A41ABD"/>
    <w:rsid w:val="00A6638F"/>
    <w:rsid w:val="00A67526"/>
    <w:rsid w:val="00A717DC"/>
    <w:rsid w:val="00AA71E8"/>
    <w:rsid w:val="00B07713"/>
    <w:rsid w:val="00B10680"/>
    <w:rsid w:val="00B34094"/>
    <w:rsid w:val="00B37C18"/>
    <w:rsid w:val="00B453EB"/>
    <w:rsid w:val="00B71A08"/>
    <w:rsid w:val="00B779C7"/>
    <w:rsid w:val="00B950BF"/>
    <w:rsid w:val="00B97202"/>
    <w:rsid w:val="00BE5B7F"/>
    <w:rsid w:val="00C2357F"/>
    <w:rsid w:val="00C52F7D"/>
    <w:rsid w:val="00C75637"/>
    <w:rsid w:val="00C97B90"/>
    <w:rsid w:val="00CA3D05"/>
    <w:rsid w:val="00CD3E77"/>
    <w:rsid w:val="00CE0F6A"/>
    <w:rsid w:val="00D23790"/>
    <w:rsid w:val="00D504F8"/>
    <w:rsid w:val="00D60544"/>
    <w:rsid w:val="00D6591B"/>
    <w:rsid w:val="00D65EAD"/>
    <w:rsid w:val="00D76EB2"/>
    <w:rsid w:val="00D8085B"/>
    <w:rsid w:val="00D8756C"/>
    <w:rsid w:val="00DB3229"/>
    <w:rsid w:val="00DC465A"/>
    <w:rsid w:val="00E02399"/>
    <w:rsid w:val="00E10456"/>
    <w:rsid w:val="00E361BB"/>
    <w:rsid w:val="00E42376"/>
    <w:rsid w:val="00E55E4E"/>
    <w:rsid w:val="00EA653B"/>
    <w:rsid w:val="00EA7DD3"/>
    <w:rsid w:val="00F144A3"/>
    <w:rsid w:val="00F3780C"/>
    <w:rsid w:val="00F8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D8256"/>
  <w15:chartTrackingRefBased/>
  <w15:docId w15:val="{8F6A5085-621E-A845-81C6-76190A3F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C9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37C18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56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56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5687"/>
    <w:rPr>
      <w:vertAlign w:val="superscript"/>
    </w:rPr>
  </w:style>
  <w:style w:type="table" w:styleId="TableGrid">
    <w:name w:val="Table Grid"/>
    <w:basedOn w:val="TableNormal"/>
    <w:uiPriority w:val="39"/>
    <w:rsid w:val="004E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C3"/>
  </w:style>
  <w:style w:type="paragraph" w:styleId="Footer">
    <w:name w:val="footer"/>
    <w:basedOn w:val="Normal"/>
    <w:link w:val="FooterChar"/>
    <w:uiPriority w:val="99"/>
    <w:unhideWhenUsed/>
    <w:rsid w:val="00570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Sabilassami Kartawiria</dc:creator>
  <cp:keywords/>
  <dc:description/>
  <cp:lastModifiedBy>Sabilassami Kartawiria</cp:lastModifiedBy>
  <cp:revision>6</cp:revision>
  <dcterms:created xsi:type="dcterms:W3CDTF">2024-12-18T01:57:00Z</dcterms:created>
  <dcterms:modified xsi:type="dcterms:W3CDTF">2024-12-18T02:00:00Z</dcterms:modified>
</cp:coreProperties>
</file>