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A237" w14:textId="77777777" w:rsidR="00AE56B1" w:rsidRDefault="00037E4E">
      <w:pPr>
        <w:pStyle w:val="Heading1"/>
      </w:pPr>
      <w:bookmarkStart w:id="0" w:name="Xce71236dd36e19550a56620201077bffc8be5aa"/>
      <w:r>
        <w:t>KRA — The Healthcare Channel That Just Opened</w:t>
      </w:r>
    </w:p>
    <w:p w14:paraId="02A1E682" w14:textId="77777777" w:rsidR="00AE56B1" w:rsidRDefault="00037E4E">
      <w:pPr>
        <w:pStyle w:val="FirstParagraph"/>
      </w:pPr>
      <w:r>
        <w:rPr>
          <w:b/>
          <w:bCs/>
        </w:rPr>
        <w:t>KOR Structural · Prepared 2026-07-03 · Based on Islam’s KRA lunch debrief (2026-07-03), verified against KRA’s published record</w:t>
      </w:r>
    </w:p>
    <w:p w14:paraId="1814CA7E" w14:textId="77777777" w:rsidR="00AE56B1" w:rsidRDefault="00037E4E">
      <w:pPr>
        <w:pStyle w:val="BodyText"/>
      </w:pPr>
      <w:r>
        <w:rPr>
          <w:b/>
          <w:bCs/>
        </w:rPr>
        <w:t>How to read this:</w:t>
      </w:r>
      <w:r>
        <w:t xml:space="preserve"> facts from the lunch are marked [Islam]; facts verified against public sources are [V]; strategic interpretation is marked as such. This is an internal brief — the action list at the end has named owners.</w:t>
      </w:r>
    </w:p>
    <w:p w14:paraId="70A8FF44" w14:textId="77777777" w:rsidR="00AE56B1" w:rsidRDefault="00037E4E">
      <w:r>
        <w:pict w14:anchorId="6A08124A">
          <v:rect id="_x0000_i1025" style="width:0;height:1.5pt" o:hralign="center" o:hrstd="t" o:hr="t"/>
        </w:pict>
      </w:r>
    </w:p>
    <w:p w14:paraId="1E55CD17" w14:textId="77777777" w:rsidR="00AE56B1" w:rsidRDefault="00037E4E">
      <w:pPr>
        <w:pStyle w:val="Heading2"/>
      </w:pPr>
      <w:bookmarkStart w:id="1" w:name="what-happened-in-one-paragraph"/>
      <w:r>
        <w:t>1. What happened, in one paragraph</w:t>
      </w:r>
    </w:p>
    <w:p w14:paraId="5CA9A8B8" w14:textId="77777777" w:rsidR="00AE56B1" w:rsidRDefault="00037E4E">
      <w:pPr>
        <w:pStyle w:val="FirstParagraph"/>
      </w:pPr>
      <w:r>
        <w:t xml:space="preserve">Islam had lunch with </w:t>
      </w:r>
      <w:r>
        <w:rPr>
          <w:b/>
          <w:bCs/>
        </w:rPr>
        <w:t>KRA (Kirsten Reite Architecture)</w:t>
      </w:r>
      <w:r>
        <w:t xml:space="preserve"> </w:t>
      </w:r>
      <w:r>
        <w:t xml:space="preserve">— a Vancouver-based architecture firm that is </w:t>
      </w:r>
      <w:r>
        <w:rPr>
          <w:b/>
          <w:bCs/>
        </w:rPr>
        <w:t>90% healthcare</w:t>
      </w:r>
      <w:r>
        <w:t xml:space="preserve"> (their own framing), with 100+ healthcare environments across BC, Alberta, and Saskatchewan, including the </w:t>
      </w:r>
      <w:r>
        <w:rPr>
          <w:b/>
          <w:bCs/>
        </w:rPr>
        <w:t>New Edmonton Hospital and Health Campus</w:t>
      </w:r>
      <w:r>
        <w:t xml:space="preserve">, the Chinook Regional Hospital Addition, and the Haida Gwaii Hospital [V]. They said three things that matter: they’re </w:t>
      </w:r>
      <w:r>
        <w:rPr>
          <w:b/>
          <w:bCs/>
        </w:rPr>
        <w:t>open to collaborating with KOR in Alberta</w:t>
      </w:r>
      <w:r>
        <w:t xml:space="preserve">; they need a </w:t>
      </w:r>
      <w:r>
        <w:rPr>
          <w:b/>
          <w:bCs/>
        </w:rPr>
        <w:t>healthcare portfolio</w:t>
      </w:r>
      <w:r>
        <w:t xml:space="preserve"> </w:t>
      </w:r>
      <w:r>
        <w:t xml:space="preserve">from KOR because prime-consultant submissions require past relevant experience for every consultant on the team; and — unprompted — they pointed at a lane: </w:t>
      </w:r>
      <w:r>
        <w:rPr>
          <w:b/>
          <w:bCs/>
        </w:rPr>
        <w:t>“you have a nice spot for commissioning, because others don’t want to do it”</w:t>
      </w:r>
      <w:r>
        <w:t xml:space="preserve"> [Islam]. They also urged speed on the </w:t>
      </w:r>
      <w:r>
        <w:rPr>
          <w:b/>
          <w:bCs/>
        </w:rPr>
        <w:t>Fraser Health prequalification</w:t>
      </w:r>
      <w:r>
        <w:t xml:space="preserve"> (“staged, takes a long time — proceed asap”) and offered to </w:t>
      </w:r>
      <w:r>
        <w:rPr>
          <w:b/>
          <w:bCs/>
        </w:rPr>
        <w:t>connect Islam with their Vancouver BD manager</w:t>
      </w:r>
      <w:r>
        <w:t xml:space="preserve"> for non-health BC work [Islam].</w:t>
      </w:r>
    </w:p>
    <w:p w14:paraId="73BA91FA" w14:textId="77777777" w:rsidR="00AE56B1" w:rsidRDefault="00037E4E">
      <w:pPr>
        <w:pStyle w:val="Heading2"/>
      </w:pPr>
      <w:bookmarkStart w:id="2" w:name="Xd6c9e1abc87d9708a6d9cf09b9ee77a0eec6889"/>
      <w:bookmarkEnd w:id="1"/>
      <w:r>
        <w:t>2. Who KRA is and why this channel matters [V]</w:t>
      </w:r>
    </w:p>
    <w:p w14:paraId="577F1CAE" w14:textId="77777777" w:rsidR="00AE56B1" w:rsidRDefault="00037E4E">
      <w:pPr>
        <w:pStyle w:val="Compact"/>
        <w:numPr>
          <w:ilvl w:val="0"/>
          <w:numId w:val="2"/>
        </w:numPr>
      </w:pPr>
      <w:r>
        <w:rPr>
          <w:b/>
          <w:bCs/>
        </w:rPr>
        <w:t>Healthcare-specialist architect</w:t>
      </w:r>
      <w:r>
        <w:t>, principal-led (Kirsten Reite, 24+ years; associate principals Sylvie Gagnon, Julie Verville, James Madley), based in Vancouver’s Japantown, working across Western Canada.</w:t>
      </w:r>
    </w:p>
    <w:p w14:paraId="427C189A" w14:textId="77777777" w:rsidR="00AE56B1" w:rsidRDefault="00037E4E">
      <w:pPr>
        <w:pStyle w:val="Compact"/>
        <w:numPr>
          <w:ilvl w:val="0"/>
          <w:numId w:val="2"/>
        </w:numPr>
      </w:pPr>
      <w:r>
        <w:rPr>
          <w:b/>
          <w:bCs/>
        </w:rPr>
        <w:t>They sit where structural seats get decided.</w:t>
      </w:r>
      <w:r>
        <w:t xml:space="preserve"> On owner-procured and prime-consultant health work, the architect assembles the consulting team — exactly the seat-selection channel in KOR’s playbook. A healthcare architect with Alberta work and a Vancouver head office is a </w:t>
      </w:r>
      <w:r>
        <w:rPr>
          <w:b/>
          <w:bCs/>
        </w:rPr>
        <w:t>two-province door</w:t>
      </w:r>
      <w:r>
        <w:t>: Alberta health collaboration now, BC non-health collaboration via their Vancouver BD manager.</w:t>
      </w:r>
    </w:p>
    <w:p w14:paraId="2DC89A2C" w14:textId="77777777" w:rsidR="00AE56B1" w:rsidRDefault="00037E4E">
      <w:pPr>
        <w:pStyle w:val="Compact"/>
        <w:numPr>
          <w:ilvl w:val="0"/>
          <w:numId w:val="2"/>
        </w:numPr>
      </w:pPr>
      <w:r>
        <w:rPr>
          <w:b/>
          <w:bCs/>
        </w:rPr>
        <w:t>They’re on the New Edmonton Hospital and Health Campus</w:t>
      </w:r>
      <w:r>
        <w:t xml:space="preserve"> — the largest health project in Alberta. Even peripheral roles near that project build exactly the credential KOR lacks.</w:t>
      </w:r>
    </w:p>
    <w:p w14:paraId="03CF55BE" w14:textId="77777777" w:rsidR="00AE56B1" w:rsidRDefault="00037E4E">
      <w:pPr>
        <w:pStyle w:val="Heading2"/>
      </w:pPr>
      <w:bookmarkStart w:id="3" w:name="X0b3a0d24548abb4af9fc30705954d14c25a9428"/>
      <w:bookmarkEnd w:id="2"/>
      <w:r>
        <w:t>3. Commissioning vs peer review — they are not the same thing</w:t>
      </w:r>
    </w:p>
    <w:p w14:paraId="4418FFA3" w14:textId="77777777" w:rsidR="00AE56B1" w:rsidRDefault="00037E4E">
      <w:pPr>
        <w:pStyle w:val="FirstParagraph"/>
      </w:pPr>
      <w:r>
        <w:t>The lunch raised it, so here is the distinction precisely: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AE56B1" w:rsidRPr="00F308DE" w14:paraId="72FB30EE" w14:textId="77777777" w:rsidTr="00F30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0E13F11A" w14:textId="77777777" w:rsidR="00AE56B1" w:rsidRPr="00F308DE" w:rsidRDefault="00AE56B1">
            <w:pPr>
              <w:pStyle w:val="Compact"/>
              <w:rPr>
                <w:sz w:val="17"/>
              </w:rPr>
            </w:pPr>
          </w:p>
        </w:tc>
        <w:tc>
          <w:tcPr>
            <w:tcW w:w="1667" w:type="pct"/>
          </w:tcPr>
          <w:p w14:paraId="2E15209A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Peer review</w:t>
            </w:r>
          </w:p>
        </w:tc>
        <w:tc>
          <w:tcPr>
            <w:tcW w:w="1667" w:type="pct"/>
          </w:tcPr>
          <w:p w14:paraId="7B908996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Commissioning</w:t>
            </w:r>
          </w:p>
        </w:tc>
      </w:tr>
      <w:tr w:rsidR="00AE56B1" w:rsidRPr="00F308DE" w14:paraId="706D3B9F" w14:textId="77777777" w:rsidTr="00F30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9911AF7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lastRenderedPageBreak/>
              <w:t>When</w:t>
            </w:r>
          </w:p>
        </w:tc>
        <w:tc>
          <w:tcPr>
            <w:tcW w:w="1667" w:type="pct"/>
          </w:tcPr>
          <w:p w14:paraId="3EC43CFD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During design</w:t>
            </w:r>
          </w:p>
        </w:tc>
        <w:tc>
          <w:tcPr>
            <w:tcW w:w="1667" w:type="pct"/>
          </w:tcPr>
          <w:p w14:paraId="096485CA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End of construction → occupancy</w:t>
            </w:r>
          </w:p>
        </w:tc>
      </w:tr>
      <w:tr w:rsidR="00AE56B1" w:rsidRPr="00F308DE" w14:paraId="40654733" w14:textId="77777777" w:rsidTr="00F308DE">
        <w:trPr>
          <w:cantSplit/>
        </w:trPr>
        <w:tc>
          <w:tcPr>
            <w:tcW w:w="1667" w:type="pct"/>
          </w:tcPr>
          <w:p w14:paraId="2995272B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What</w:t>
            </w:r>
          </w:p>
        </w:tc>
        <w:tc>
          <w:tcPr>
            <w:tcW w:w="1667" w:type="pct"/>
          </w:tcPr>
          <w:p w14:paraId="5A0C5F62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 xml:space="preserve">An independent engineer reviews </w:t>
            </w:r>
            <w:r w:rsidRPr="00F308DE">
              <w:rPr>
                <w:i/>
                <w:iCs/>
                <w:sz w:val="17"/>
              </w:rPr>
              <w:t>another firm’s</w:t>
            </w:r>
            <w:r w:rsidRPr="00F308DE">
              <w:rPr>
                <w:sz w:val="17"/>
              </w:rPr>
              <w:t xml:space="preserve"> structural design and reports on its adequacy</w:t>
            </w:r>
          </w:p>
        </w:tc>
        <w:tc>
          <w:tcPr>
            <w:tcW w:w="1667" w:type="pct"/>
          </w:tcPr>
          <w:p w14:paraId="27B40660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 xml:space="preserve">Verifying the </w:t>
            </w:r>
            <w:r w:rsidRPr="00F308DE">
              <w:rPr>
                <w:i/>
                <w:iCs/>
                <w:sz w:val="17"/>
              </w:rPr>
              <w:t>built</w:t>
            </w:r>
            <w:r w:rsidRPr="00F308DE">
              <w:rPr>
                <w:sz w:val="17"/>
              </w:rPr>
              <w:t xml:space="preserve"> facility actually performs to design intent before it opens</w:t>
            </w:r>
          </w:p>
        </w:tc>
      </w:tr>
      <w:tr w:rsidR="00AE56B1" w:rsidRPr="00F308DE" w14:paraId="15A14A33" w14:textId="77777777" w:rsidTr="00F30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8693D75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Governed by</w:t>
            </w:r>
          </w:p>
        </w:tc>
        <w:tc>
          <w:tcPr>
            <w:tcW w:w="1667" w:type="pct"/>
          </w:tcPr>
          <w:p w14:paraId="48676162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EGBC structural peer-review practice guideline (BC); owner-driven on post-disaster and health projects</w:t>
            </w:r>
          </w:p>
        </w:tc>
        <w:tc>
          <w:tcPr>
            <w:tcW w:w="1667" w:type="pct"/>
          </w:tcPr>
          <w:p w14:paraId="410FC910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b/>
                <w:bCs/>
                <w:sz w:val="17"/>
              </w:rPr>
              <w:t>CSA Z8001 — Commissioning of Health Care Facilities</w:t>
            </w:r>
            <w:r w:rsidRPr="00F308DE">
              <w:rPr>
                <w:sz w:val="17"/>
              </w:rPr>
              <w:t xml:space="preserve"> (companion to the Z8000 design standard); mandated by health authorities</w:t>
            </w:r>
          </w:p>
        </w:tc>
      </w:tr>
      <w:tr w:rsidR="00AE56B1" w:rsidRPr="00F308DE" w14:paraId="267ACD58" w14:textId="77777777" w:rsidTr="00F308DE">
        <w:trPr>
          <w:cantSplit/>
        </w:trPr>
        <w:tc>
          <w:tcPr>
            <w:tcW w:w="1667" w:type="pct"/>
          </w:tcPr>
          <w:p w14:paraId="67A842C5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Who leads</w:t>
            </w:r>
          </w:p>
        </w:tc>
        <w:tc>
          <w:tcPr>
            <w:tcW w:w="1667" w:type="pct"/>
          </w:tcPr>
          <w:p w14:paraId="3D165AE8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A senior structural engineer</w:t>
            </w:r>
          </w:p>
        </w:tc>
        <w:tc>
          <w:tcPr>
            <w:tcW w:w="1667" w:type="pct"/>
          </w:tcPr>
          <w:p w14:paraId="1DAA39DE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Mechanical/electrical/controls specialists — most of what gets functionally tested is HVAC, med-gas, power</w:t>
            </w:r>
          </w:p>
        </w:tc>
      </w:tr>
      <w:tr w:rsidR="00AE56B1" w:rsidRPr="00F308DE" w14:paraId="3C4D467E" w14:textId="77777777" w:rsidTr="00F30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0247EB0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Deliverable</w:t>
            </w:r>
          </w:p>
        </w:tc>
        <w:tc>
          <w:tcPr>
            <w:tcW w:w="1667" w:type="pct"/>
          </w:tcPr>
          <w:p w14:paraId="231CF7FC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Review report (you never stamp the design)</w:t>
            </w:r>
          </w:p>
        </w:tc>
        <w:tc>
          <w:tcPr>
            <w:tcW w:w="1667" w:type="pct"/>
          </w:tcPr>
          <w:p w14:paraId="2962546B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Verification reports, functional test records, deficiency closure</w:t>
            </w:r>
          </w:p>
        </w:tc>
      </w:tr>
      <w:tr w:rsidR="00AE56B1" w:rsidRPr="00F308DE" w14:paraId="1F71827D" w14:textId="77777777" w:rsidTr="00F308DE">
        <w:trPr>
          <w:cantSplit/>
        </w:trPr>
        <w:tc>
          <w:tcPr>
            <w:tcW w:w="1667" w:type="pct"/>
          </w:tcPr>
          <w:p w14:paraId="7B961D65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Fee shape</w:t>
            </w:r>
          </w:p>
        </w:tc>
        <w:tc>
          <w:tcPr>
            <w:tcW w:w="1667" w:type="pct"/>
          </w:tcPr>
          <w:p w14:paraId="48F2B2C9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Design-phase consulting fee</w:t>
            </w:r>
          </w:p>
        </w:tc>
        <w:tc>
          <w:tcPr>
            <w:tcW w:w="1667" w:type="pct"/>
          </w:tcPr>
          <w:p w14:paraId="21C1B60B" w14:textId="77777777" w:rsidR="00AE56B1" w:rsidRPr="00F308DE" w:rsidRDefault="00037E4E">
            <w:pPr>
              <w:pStyle w:val="Compact"/>
              <w:rPr>
                <w:sz w:val="17"/>
              </w:rPr>
            </w:pPr>
            <w:r w:rsidRPr="00F308DE">
              <w:rPr>
                <w:sz w:val="17"/>
              </w:rPr>
              <w:t>Field-heavy, smaller, recurring</w:t>
            </w:r>
          </w:p>
        </w:tc>
      </w:tr>
    </w:tbl>
    <w:p w14:paraId="60A7BB9E" w14:textId="77777777" w:rsidR="00AE56B1" w:rsidRDefault="00037E4E">
      <w:pPr>
        <w:pStyle w:val="BodyText"/>
      </w:pPr>
      <w:r>
        <w:rPr>
          <w:b/>
          <w:bCs/>
        </w:rPr>
        <w:t>The structural slice of healthcare commissioning — the lane KRA pointed at:</w:t>
      </w:r>
    </w:p>
    <w:p w14:paraId="1DD57DCF" w14:textId="77777777" w:rsidR="00AE56B1" w:rsidRDefault="00037E4E">
      <w:pPr>
        <w:pStyle w:val="Compact"/>
        <w:numPr>
          <w:ilvl w:val="0"/>
          <w:numId w:val="3"/>
        </w:numPr>
      </w:pPr>
      <w:r>
        <w:rPr>
          <w:b/>
          <w:bCs/>
        </w:rPr>
        <w:t>Seismic restraint and anchorage verification</w:t>
      </w:r>
      <w:r>
        <w:t xml:space="preserve"> </w:t>
      </w:r>
      <w:r>
        <w:t>of equipment and non-structural components (CSA S832 territory) — every generator, rack, ceiling, and imaging machine needs restraint review and field verification.</w:t>
      </w:r>
    </w:p>
    <w:p w14:paraId="224826C6" w14:textId="77777777" w:rsidR="00AE56B1" w:rsidRDefault="00037E4E">
      <w:pPr>
        <w:pStyle w:val="Compact"/>
        <w:numPr>
          <w:ilvl w:val="0"/>
          <w:numId w:val="3"/>
        </w:numPr>
      </w:pPr>
      <w:r>
        <w:rPr>
          <w:b/>
          <w:bCs/>
        </w:rPr>
        <w:t>Equipment-replacement structural assessments</w:t>
      </w:r>
      <w:r>
        <w:t xml:space="preserve"> — MRI/CT/imaging swaps in </w:t>
      </w:r>
      <w:r>
        <w:rPr>
          <w:i/>
          <w:iCs/>
        </w:rPr>
        <w:t>operating</w:t>
      </w:r>
      <w:r>
        <w:t xml:space="preserve"> hospitals: small fees, tight logistics, infection-control protocols, night work — and they recur forever.</w:t>
      </w:r>
    </w:p>
    <w:p w14:paraId="450432BA" w14:textId="77777777" w:rsidR="00AE56B1" w:rsidRDefault="00037E4E">
      <w:pPr>
        <w:pStyle w:val="Compact"/>
        <w:numPr>
          <w:ilvl w:val="0"/>
          <w:numId w:val="3"/>
        </w:numPr>
      </w:pPr>
      <w:r>
        <w:rPr>
          <w:b/>
          <w:bCs/>
        </w:rPr>
        <w:t>Floor vibration verification</w:t>
      </w:r>
      <w:r>
        <w:t xml:space="preserve"> for imaging suites and operating rooms; equipment pads, supports, and openings.</w:t>
      </w:r>
    </w:p>
    <w:p w14:paraId="4D1AD745" w14:textId="77777777" w:rsidR="00AE56B1" w:rsidRDefault="00037E4E">
      <w:pPr>
        <w:pStyle w:val="FirstParagraph"/>
      </w:pPr>
      <w:r>
        <w:t>This work is fussy, low-glamour, and continuous — which is precisely why established firms avoid it, and why the seat is open.</w:t>
      </w:r>
    </w:p>
    <w:p w14:paraId="19C159C5" w14:textId="77777777" w:rsidR="00AE56B1" w:rsidRDefault="00037E4E">
      <w:pPr>
        <w:pStyle w:val="Heading2"/>
      </w:pPr>
      <w:bookmarkStart w:id="4" w:name="X4e85bacaadc268700e8f5880d5df2d2a427b854"/>
      <w:bookmarkEnd w:id="3"/>
      <w:r>
        <w:t>4. The strategic frame — KRA’s two comments solve each other</w:t>
      </w:r>
    </w:p>
    <w:p w14:paraId="299D9D08" w14:textId="77777777" w:rsidR="00AE56B1" w:rsidRDefault="00037E4E">
      <w:pPr>
        <w:pStyle w:val="FirstParagraph"/>
      </w:pPr>
      <w:r>
        <w:t xml:space="preserve">KRA said </w:t>
      </w:r>
      <w:r>
        <w:rPr>
          <w:i/>
          <w:iCs/>
        </w:rPr>
        <w:t>“we need your healthcare portfolio”</w:t>
      </w:r>
      <w:r>
        <w:t xml:space="preserve"> and </w:t>
      </w:r>
      <w:r>
        <w:rPr>
          <w:i/>
          <w:iCs/>
        </w:rPr>
        <w:t>“you have a spot in commissioning”</w:t>
      </w:r>
      <w:r>
        <w:t xml:space="preserve"> in the same conversation. Those aren’t two topics; they’re one:</w:t>
      </w:r>
    </w:p>
    <w:p w14:paraId="1E9DF3CE" w14:textId="77777777" w:rsidR="00AE56B1" w:rsidRDefault="00037E4E">
      <w:pPr>
        <w:pStyle w:val="Compact"/>
        <w:numPr>
          <w:ilvl w:val="0"/>
          <w:numId w:val="4"/>
        </w:numPr>
      </w:pPr>
      <w:r>
        <w:lastRenderedPageBreak/>
        <w:t>KOR’s healthcare portfolio is thin — that’s the honest gap, and it’s the entry requirement for every prime-consultant health submission KRA makes.</w:t>
      </w:r>
    </w:p>
    <w:p w14:paraId="2C9EECA5" w14:textId="77777777" w:rsidR="00AE56B1" w:rsidRDefault="00037E4E">
      <w:pPr>
        <w:pStyle w:val="Compact"/>
        <w:numPr>
          <w:ilvl w:val="0"/>
          <w:numId w:val="4"/>
        </w:numPr>
      </w:pPr>
      <w:r>
        <w:t xml:space="preserve">The commissioning/verification niche is the </w:t>
      </w:r>
      <w:r>
        <w:rPr>
          <w:b/>
          <w:bCs/>
        </w:rPr>
        <w:t>fastest legitimate builder of healthcare project experience</w:t>
      </w:r>
      <w:r>
        <w:t>: each small commission is a real health-facility project line, with a willing architect handing over the work.</w:t>
      </w:r>
    </w:p>
    <w:p w14:paraId="67E9425E" w14:textId="77777777" w:rsidR="00AE56B1" w:rsidRDefault="00037E4E">
      <w:pPr>
        <w:pStyle w:val="Compact"/>
        <w:numPr>
          <w:ilvl w:val="0"/>
          <w:numId w:val="4"/>
        </w:numPr>
      </w:pPr>
      <w:r>
        <w:t xml:space="preserve">The graduation path: commissioning work → named healthcare experience → the </w:t>
      </w:r>
      <w:r>
        <w:rPr>
          <w:b/>
          <w:bCs/>
        </w:rPr>
        <w:t>structural design seat</w:t>
      </w:r>
      <w:r>
        <w:t xml:space="preserve"> on KRA’s projects, in both provinces.</w:t>
      </w:r>
    </w:p>
    <w:p w14:paraId="7AA3F479" w14:textId="77777777" w:rsidR="00AE56B1" w:rsidRDefault="00037E4E">
      <w:pPr>
        <w:pStyle w:val="FirstParagraph"/>
      </w:pPr>
      <w:r>
        <w:t>Take the unloved work. It converts directly into the currency KRA itself says the submissions require.</w:t>
      </w:r>
    </w:p>
    <w:p w14:paraId="7EE6CE79" w14:textId="77777777" w:rsidR="00AE56B1" w:rsidRDefault="00037E4E">
      <w:pPr>
        <w:pStyle w:val="Heading2"/>
      </w:pPr>
      <w:bookmarkStart w:id="5" w:name="actions-named-owners"/>
      <w:bookmarkEnd w:id="4"/>
      <w:r>
        <w:t>5. Actions (named owners)</w:t>
      </w:r>
    </w:p>
    <w:p w14:paraId="778BF65C" w14:textId="77777777" w:rsidR="00AE56B1" w:rsidRDefault="00037E4E">
      <w:pPr>
        <w:pStyle w:val="Compact"/>
        <w:numPr>
          <w:ilvl w:val="0"/>
          <w:numId w:val="5"/>
        </w:numPr>
      </w:pPr>
      <w:r>
        <w:rPr>
          <w:b/>
          <w:bCs/>
        </w:rPr>
        <w:t>Islam — now:</w:t>
      </w:r>
      <w:r>
        <w:t xml:space="preserve"> </w:t>
      </w:r>
      <w:r>
        <w:t xml:space="preserve">ask KRA the one clarifying question: </w:t>
      </w:r>
      <w:r>
        <w:rPr>
          <w:i/>
          <w:iCs/>
        </w:rPr>
        <w:t>“When you say commissioning, do you mean the structural scope inside your CSA Z8001 health-facility commissioning programs — seismic restraint verification, equipment anchorage, vibration checks — or structural field review more generally?”</w:t>
      </w:r>
      <w:r>
        <w:t xml:space="preserve"> The answer decides which portfolio pieces lead and how the work is priced.</w:t>
      </w:r>
    </w:p>
    <w:p w14:paraId="4F7711BF" w14:textId="77777777" w:rsidR="00AE56B1" w:rsidRDefault="00037E4E">
      <w:pPr>
        <w:pStyle w:val="Compact"/>
        <w:numPr>
          <w:ilvl w:val="0"/>
          <w:numId w:val="5"/>
        </w:numPr>
      </w:pPr>
      <w:r>
        <w:rPr>
          <w:b/>
          <w:bCs/>
        </w:rPr>
        <w:t>Ian + Islam — this month:</w:t>
      </w:r>
      <w:r>
        <w:t xml:space="preserve"> </w:t>
      </w:r>
      <w:r>
        <w:t>assemble the healthcare portfolio. Lead with what KOR verifiably has: seismic/restraint work, equipment and vibration-sensitive projects, health-adjacent institutional work — presented per KRA’s format (past relevant experience, per consultant).</w:t>
      </w:r>
    </w:p>
    <w:p w14:paraId="25F09CA3" w14:textId="77777777" w:rsidR="00AE56B1" w:rsidRDefault="00037E4E">
      <w:pPr>
        <w:pStyle w:val="Compact"/>
        <w:numPr>
          <w:ilvl w:val="0"/>
          <w:numId w:val="5"/>
        </w:numPr>
      </w:pPr>
      <w:r>
        <w:rPr>
          <w:b/>
          <w:bCs/>
        </w:rPr>
        <w:t>Ian — now:</w:t>
      </w:r>
      <w:r>
        <w:t xml:space="preserve"> push the </w:t>
      </w:r>
      <w:r>
        <w:rPr>
          <w:b/>
          <w:bCs/>
        </w:rPr>
        <w:t>Fraser Health prequalification</w:t>
      </w:r>
      <w:r>
        <w:t xml:space="preserve"> forward. KRA’s warning (staged, slow) matches what KOR’s prequal register already shows — being mid-process is fine; being stalled is not.</w:t>
      </w:r>
    </w:p>
    <w:p w14:paraId="1AB5E14C" w14:textId="77777777" w:rsidR="00AE56B1" w:rsidRDefault="00037E4E">
      <w:pPr>
        <w:pStyle w:val="Compact"/>
        <w:numPr>
          <w:ilvl w:val="0"/>
          <w:numId w:val="5"/>
        </w:numPr>
      </w:pPr>
      <w:r>
        <w:rPr>
          <w:b/>
          <w:bCs/>
        </w:rPr>
        <w:t>Islam — when offered:</w:t>
      </w:r>
      <w:r>
        <w:t xml:space="preserve"> take the </w:t>
      </w:r>
      <w:r>
        <w:rPr>
          <w:b/>
          <w:bCs/>
        </w:rPr>
        <w:t>Vancouver BD manager introduction</w:t>
      </w:r>
      <w:r>
        <w:t xml:space="preserve"> </w:t>
      </w:r>
      <w:r>
        <w:t>and route it to the BC team — non-health BC collaboration is a separate, additive thread.</w:t>
      </w:r>
    </w:p>
    <w:p w14:paraId="4E90F068" w14:textId="77777777" w:rsidR="00AE56B1" w:rsidRDefault="00037E4E">
      <w:pPr>
        <w:pStyle w:val="Compact"/>
        <w:numPr>
          <w:ilvl w:val="0"/>
          <w:numId w:val="5"/>
        </w:numPr>
      </w:pPr>
      <w:r>
        <w:rPr>
          <w:b/>
          <w:bCs/>
        </w:rPr>
        <w:t>Both — after #1:</w:t>
      </w:r>
      <w:r>
        <w:t xml:space="preserve"> if the answer is the Z8001 scope, propose a first small commission on a live KRA project as the pilot — the wedge matters more than its fee.</w:t>
      </w:r>
    </w:p>
    <w:p w14:paraId="2963B0C8" w14:textId="77777777" w:rsidR="00AE56B1" w:rsidRDefault="00037E4E">
      <w:pPr>
        <w:pStyle w:val="Heading2"/>
      </w:pPr>
      <w:bookmarkStart w:id="6" w:name="honesty-notes"/>
      <w:bookmarkEnd w:id="5"/>
      <w:r>
        <w:t>6. Honesty notes</w:t>
      </w:r>
    </w:p>
    <w:p w14:paraId="7081AAD1" w14:textId="77777777" w:rsidR="00AE56B1" w:rsidRDefault="00037E4E">
      <w:pPr>
        <w:pStyle w:val="Compact"/>
        <w:numPr>
          <w:ilvl w:val="0"/>
          <w:numId w:val="6"/>
        </w:numPr>
      </w:pPr>
      <w:r>
        <w:t>The “commissioning spot” is KRA’s characterization from one lunch — its exact scope is unconfirmed until action #1 is answered. Do not build a service line on it before that answer.</w:t>
      </w:r>
    </w:p>
    <w:p w14:paraId="3982FCAD" w14:textId="77777777" w:rsidR="00AE56B1" w:rsidRDefault="00037E4E">
      <w:pPr>
        <w:pStyle w:val="Compact"/>
        <w:numPr>
          <w:ilvl w:val="0"/>
          <w:numId w:val="6"/>
        </w:numPr>
      </w:pPr>
      <w:r>
        <w:t>KOR’s healthcare thinness is real; the portfolio should not oversell. The credible story is seismic + verification competence entering healthcare through the door healthcare firms leave open.</w:t>
      </w:r>
    </w:p>
    <w:p w14:paraId="71245049" w14:textId="77777777" w:rsidR="00AE56B1" w:rsidRDefault="00037E4E">
      <w:pPr>
        <w:pStyle w:val="Compact"/>
        <w:numPr>
          <w:ilvl w:val="0"/>
          <w:numId w:val="6"/>
        </w:numPr>
      </w:pPr>
      <w:r>
        <w:t>Everything KRA-specific here beyond the lunch (project roster, people, footprint) was verified against KRA’s own published pages on 2026-07-03.</w:t>
      </w:r>
    </w:p>
    <w:p w14:paraId="1928FFC0" w14:textId="77777777" w:rsidR="00AE56B1" w:rsidRDefault="00037E4E">
      <w:r>
        <w:pict w14:anchorId="52B2885C">
          <v:rect id="_x0000_i1026" style="width:0;height:1.5pt" o:hralign="center" o:hrstd="t" o:hr="t"/>
        </w:pict>
      </w:r>
    </w:p>
    <w:p w14:paraId="54E82CB6" w14:textId="77777777" w:rsidR="00AE56B1" w:rsidRDefault="00037E4E">
      <w:pPr>
        <w:pStyle w:val="FirstParagraph"/>
      </w:pPr>
      <w:r>
        <w:rPr>
          <w:i/>
          <w:iCs/>
        </w:rPr>
        <w:t>Filed: lunch debrief ingested against KRA’s record in KOR’s BD database (2026-07-03); relationship thread bookmarked. Sources: krarchitecture.ca (firm, people, projects); CSA Z8000/Z8001 and CSA S832 (standards framework); EGBC structural peer-review guideline; KOR BD database (KRA project roster on BC/AB health capital).</w:t>
      </w:r>
      <w:bookmarkEnd w:id="0"/>
      <w:bookmarkEnd w:id="6"/>
    </w:p>
    <w:sectPr w:rsidR="00AE56B1" w:rsidSect="00F308DE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2E18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7E2B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9A4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570392">
    <w:abstractNumId w:val="0"/>
  </w:num>
  <w:num w:numId="2" w16cid:durableId="1211577485">
    <w:abstractNumId w:val="1"/>
  </w:num>
  <w:num w:numId="3" w16cid:durableId="782696559">
    <w:abstractNumId w:val="1"/>
  </w:num>
  <w:num w:numId="4" w16cid:durableId="1121535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5776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453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6B1"/>
    <w:rsid w:val="00037E4E"/>
    <w:rsid w:val="00383188"/>
    <w:rsid w:val="00AE56B1"/>
    <w:rsid w:val="00F3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0BE4"/>
  <w15:docId w15:val="{1C6A391D-69CE-427D-83DB-2D626B30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F308D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2026-07-10T20:13:00Z</dcterms:created>
  <dcterms:modified xsi:type="dcterms:W3CDTF">2026-07-10T20:14:00Z</dcterms:modified>
</cp:coreProperties>
</file>