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EF7A" w14:textId="77777777" w:rsidR="002A0107" w:rsidRDefault="004C089A">
      <w:pPr>
        <w:pStyle w:val="Heading1"/>
      </w:pPr>
      <w:bookmarkStart w:id="0" w:name="X85e735ef6819414161c7e40889a5daeb3e3380a"/>
      <w:r>
        <w:t>Vancouver Coastal Health — Do We Need to Get on Their List?</w:t>
      </w:r>
    </w:p>
    <w:p w14:paraId="7273048E" w14:textId="77777777" w:rsidR="002A0107" w:rsidRDefault="004C089A">
      <w:pPr>
        <w:pStyle w:val="FirstParagraph"/>
      </w:pPr>
      <w:r>
        <w:rPr>
          <w:i/>
          <w:iCs/>
        </w:rPr>
        <w:t>Procurement-access briefing · KOR Structural — Business Development · 24 Jun 2026 · INTERNAL · Confidence: HIGH (verified against the live RFPQ26-PE list, eff. 29 May 2026)</w:t>
      </w:r>
    </w:p>
    <w:p w14:paraId="4182B87E" w14:textId="77777777" w:rsidR="002A0107" w:rsidRDefault="004C089A" w:rsidP="00F6017A">
      <w:pPr>
        <w:pStyle w:val="Heading2"/>
        <w:pageBreakBefore/>
      </w:pPr>
      <w:bookmarkStart w:id="1" w:name="executive-summary"/>
      <w:r>
        <w:t>Executive summary</w:t>
      </w:r>
    </w:p>
    <w:p w14:paraId="4EEC8BD2" w14:textId="77777777" w:rsidR="002A0107" w:rsidRDefault="004C089A">
      <w:pPr>
        <w:pStyle w:val="Compact"/>
        <w:numPr>
          <w:ilvl w:val="0"/>
          <w:numId w:val="2"/>
        </w:numPr>
      </w:pPr>
      <w:r>
        <w:rPr>
          <w:b/>
          <w:bCs/>
        </w:rPr>
        <w:t>YES — there is a real, current list, KOR is not on it, and we should apply.</w:t>
      </w:r>
      <w:r>
        <w:t xml:space="preserve"> The Lower Mainland Facilities Management (LMFM) shared-procurement arm for VCH + Fraser Health + PHSA + Providence runs a recurring Request for Pre-Qualification (RFPQ) that produces a “Pre-Qualified Professional Engineers” roster </w:t>
      </w:r>
      <w:r>
        <w:rPr>
          <w:b/>
          <w:bCs/>
        </w:rPr>
        <w:t>with an explicit Structural discipline</w:t>
      </w:r>
      <w:r>
        <w:t xml:space="preserve">. The current list is </w:t>
      </w:r>
      <w:r>
        <w:rPr>
          <w:b/>
          <w:bCs/>
        </w:rPr>
        <w:t>RFPQ26-PE, effective 29 May 2026</w:t>
      </w:r>
      <w:r>
        <w:t xml:space="preserve"> — live, not the dead 2021 file our prior dossier flagged.</w:t>
      </w:r>
    </w:p>
    <w:p w14:paraId="63BCCD28" w14:textId="77777777" w:rsidR="002A0107" w:rsidRDefault="004C089A">
      <w:pPr>
        <w:pStyle w:val="Compact"/>
        <w:numPr>
          <w:ilvl w:val="0"/>
          <w:numId w:val="2"/>
        </w:numPr>
      </w:pPr>
      <w:r>
        <w:rPr>
          <w:b/>
          <w:bCs/>
        </w:rPr>
        <w:t>Passive BC Bid watching (what the platform does today) is NOT enough.</w:t>
      </w:r>
      <w:r>
        <w:t xml:space="preserve"> The platform already sees every public VCH tender, but that is visibility only. Getting </w:t>
      </w:r>
      <w:r>
        <w:rPr>
          <w:i/>
          <w:iCs/>
        </w:rPr>
        <w:t>invited</w:t>
      </w:r>
      <w:r>
        <w:t xml:space="preserve"> to the formal small/mid non-alliance work requires being on the LMFM roster — a separate, proactive application via BC Bid + Bonfire. This is the net-new action.</w:t>
      </w:r>
    </w:p>
    <w:p w14:paraId="5D175783" w14:textId="77777777" w:rsidR="002A0107" w:rsidRDefault="004C089A">
      <w:pPr>
        <w:pStyle w:val="Compact"/>
        <w:numPr>
          <w:ilvl w:val="0"/>
          <w:numId w:val="2"/>
        </w:numPr>
      </w:pPr>
      <w:r>
        <w:rPr>
          <w:b/>
          <w:bCs/>
        </w:rPr>
        <w:t>Every named BC competitor is already on it — KOR is the gap.</w:t>
      </w:r>
      <w:r>
        <w:t xml:space="preserve"> Structural-tagged firms on the current roster include Glotman Simpson, Bush Bohlman, RJC, Fast+Epp, Entuitive, DIALOG, CWMM, Stantec and WSP (~19 structural firms). No KOR entry.</w:t>
      </w:r>
    </w:p>
    <w:p w14:paraId="63853094" w14:textId="77777777" w:rsidR="002A0107" w:rsidRDefault="004C089A">
      <w:pPr>
        <w:pStyle w:val="Compact"/>
        <w:numPr>
          <w:ilvl w:val="0"/>
          <w:numId w:val="2"/>
        </w:numPr>
      </w:pPr>
      <w:r>
        <w:rPr>
          <w:b/>
          <w:bCs/>
        </w:rPr>
        <w:t>The roster does NOT win the marquee hospital towers.</w:t>
      </w:r>
      <w:r>
        <w:t xml:space="preserve"> Richmond Yurkovich ($1.96B), VGH and Lions Gate run through Infrastructure BC’s competitive-alliance model, where structural is a sub inside the winning design-builder / architect team (Graham + HDR on Richmond). You cannot register directly with the owner for those — that track is architect/GC teaming, exactly as the existing VCH dossier already plays it.</w:t>
      </w:r>
    </w:p>
    <w:p w14:paraId="07A57E80" w14:textId="77777777" w:rsidR="002A0107" w:rsidRDefault="004C089A" w:rsidP="00F6017A">
      <w:pPr>
        <w:pStyle w:val="Heading2"/>
        <w:pageBreakBefore/>
      </w:pPr>
      <w:bookmarkStart w:id="2" w:name="act-now"/>
      <w:bookmarkEnd w:id="1"/>
      <w:r>
        <w:t>ACT NOW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2A0107" w:rsidRPr="00F6017A" w14:paraId="0EC1F8CA" w14:textId="77777777" w:rsidTr="00F60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72F2BB14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#</w:t>
            </w:r>
          </w:p>
        </w:tc>
        <w:tc>
          <w:tcPr>
            <w:tcW w:w="1250" w:type="pct"/>
          </w:tcPr>
          <w:p w14:paraId="64FFF283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Action</w:t>
            </w:r>
          </w:p>
        </w:tc>
        <w:tc>
          <w:tcPr>
            <w:tcW w:w="1250" w:type="pct"/>
          </w:tcPr>
          <w:p w14:paraId="4A077C5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Owner / channel</w:t>
            </w:r>
          </w:p>
        </w:tc>
        <w:tc>
          <w:tcPr>
            <w:tcW w:w="1250" w:type="pct"/>
          </w:tcPr>
          <w:p w14:paraId="1C3A9710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Timing</w:t>
            </w:r>
          </w:p>
        </w:tc>
      </w:tr>
      <w:tr w:rsidR="002A0107" w:rsidRPr="00F6017A" w14:paraId="429523E6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427204CC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1</w:t>
            </w:r>
          </w:p>
        </w:tc>
        <w:tc>
          <w:tcPr>
            <w:tcW w:w="1250" w:type="pct"/>
          </w:tcPr>
          <w:p w14:paraId="2B2ECE6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Set BC Bid + Bonfire alerts NOW for the “2026 RFPQ Annual Pre-Qualification Refresh” — the annual window is the entry point and is expected to post ~Sept–Oct 2026</w:t>
            </w:r>
          </w:p>
        </w:tc>
        <w:tc>
          <w:tcPr>
            <w:tcW w:w="1250" w:type="pct"/>
          </w:tcPr>
          <w:p w14:paraId="3DB19D3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BD / Ian</w:t>
            </w:r>
          </w:p>
        </w:tc>
        <w:tc>
          <w:tcPr>
            <w:tcW w:w="1250" w:type="pct"/>
          </w:tcPr>
          <w:p w14:paraId="61E8FF40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Now — watch weekly</w:t>
            </w:r>
          </w:p>
        </w:tc>
      </w:tr>
      <w:tr w:rsidR="002A0107" w:rsidRPr="00F6017A" w14:paraId="270BA319" w14:textId="77777777" w:rsidTr="00F6017A">
        <w:trPr>
          <w:cantSplit/>
        </w:trPr>
        <w:tc>
          <w:tcPr>
            <w:tcW w:w="1250" w:type="pct"/>
          </w:tcPr>
          <w:p w14:paraId="6E8F0CBD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2</w:t>
            </w:r>
          </w:p>
        </w:tc>
        <w:tc>
          <w:tcPr>
            <w:tcW w:w="1250" w:type="pct"/>
          </w:tcPr>
          <w:p w14:paraId="00E894DE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Email LMFM to confirm the exact 2026 refresh posting/closing dates for the Engineers category</w:t>
            </w:r>
          </w:p>
        </w:tc>
        <w:tc>
          <w:tcPr>
            <w:tcW w:w="1250" w:type="pct"/>
          </w:tcPr>
          <w:p w14:paraId="75A3B2D5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FMP@fraserhealth.ca</w:t>
            </w:r>
          </w:p>
        </w:tc>
        <w:tc>
          <w:tcPr>
            <w:tcW w:w="1250" w:type="pct"/>
          </w:tcPr>
          <w:p w14:paraId="2410795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This week</w:t>
            </w:r>
          </w:p>
        </w:tc>
      </w:tr>
      <w:tr w:rsidR="002A0107" w:rsidRPr="00F6017A" w14:paraId="6958F93B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047CBB2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3</w:t>
            </w:r>
          </w:p>
        </w:tc>
        <w:tc>
          <w:tcPr>
            <w:tcW w:w="1250" w:type="pct"/>
          </w:tcPr>
          <w:p w14:paraId="4025263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Register a vendor account on the Fraser Health Bonfire portal (fraserhealth.bonfirehub.ca)</w:t>
            </w:r>
          </w:p>
        </w:tc>
        <w:tc>
          <w:tcPr>
            <w:tcW w:w="1250" w:type="pct"/>
          </w:tcPr>
          <w:p w14:paraId="6C387574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BD / Ian</w:t>
            </w:r>
          </w:p>
        </w:tc>
        <w:tc>
          <w:tcPr>
            <w:tcW w:w="1250" w:type="pct"/>
          </w:tcPr>
          <w:p w14:paraId="4CFEE30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This week</w:t>
            </w:r>
          </w:p>
        </w:tc>
      </w:tr>
      <w:tr w:rsidR="002A0107" w:rsidRPr="00F6017A" w14:paraId="6239FE20" w14:textId="77777777" w:rsidTr="00F6017A">
        <w:trPr>
          <w:cantSplit/>
        </w:trPr>
        <w:tc>
          <w:tcPr>
            <w:tcW w:w="1250" w:type="pct"/>
          </w:tcPr>
          <w:p w14:paraId="155E3D47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lastRenderedPageBreak/>
              <w:t>4</w:t>
            </w:r>
          </w:p>
        </w:tc>
        <w:tc>
          <w:tcPr>
            <w:tcW w:w="1250" w:type="pct"/>
          </w:tcPr>
          <w:p w14:paraId="5B61956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Assemble the Structural prequal package targeting NON-ACUTE + lower fee bands first: EGBC Accredited Employer proof, P.Eng roster, strongest high-importance (IE=1.5) seismic references</w:t>
            </w:r>
          </w:p>
        </w:tc>
        <w:tc>
          <w:tcPr>
            <w:tcW w:w="1250" w:type="pct"/>
          </w:tcPr>
          <w:p w14:paraId="49AD4445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BD + Principals</w:t>
            </w:r>
          </w:p>
        </w:tc>
        <w:tc>
          <w:tcPr>
            <w:tcW w:w="1250" w:type="pct"/>
          </w:tcPr>
          <w:p w14:paraId="1720D938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Before window opens</w:t>
            </w:r>
          </w:p>
        </w:tc>
      </w:tr>
      <w:tr w:rsidR="002A0107" w:rsidRPr="00F6017A" w14:paraId="73E8CACE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65D7081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5</w:t>
            </w:r>
          </w:p>
        </w:tc>
        <w:tc>
          <w:tcPr>
            <w:tcW w:w="1250" w:type="pct"/>
          </w:tcPr>
          <w:p w14:paraId="055E1481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Keep the marquee-tower track separate: continue architect/GC teaming (HDR, Kasian, Graham) per the VCH dossier — the roster does not apply there</w:t>
            </w:r>
          </w:p>
        </w:tc>
        <w:tc>
          <w:tcPr>
            <w:tcW w:w="1250" w:type="pct"/>
          </w:tcPr>
          <w:p w14:paraId="05454A8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BD</w:t>
            </w:r>
          </w:p>
        </w:tc>
        <w:tc>
          <w:tcPr>
            <w:tcW w:w="1250" w:type="pct"/>
          </w:tcPr>
          <w:p w14:paraId="4E497A61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Ongoing</w:t>
            </w:r>
          </w:p>
        </w:tc>
      </w:tr>
    </w:tbl>
    <w:p w14:paraId="44B92C6F" w14:textId="77777777" w:rsidR="002A0107" w:rsidRDefault="004C089A" w:rsidP="00F6017A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t>Good news on timing:</w:t>
      </w:r>
      <w:r>
        <w:t xml:space="preserve"> this is an ANNUAL window, not a one-shot. The 2025 refresh closed 31 Oct 2025 and produced the current list (eff. 29 May 2026); the 2026 refresh should open this fall. Don’t miss it — it is also when listed firms must re-apply, so it is the universal entry point.</w:t>
      </w:r>
    </w:p>
    <w:p w14:paraId="0EEA71DF" w14:textId="77777777" w:rsidR="002A0107" w:rsidRDefault="004C089A" w:rsidP="00F6017A">
      <w:pPr>
        <w:pStyle w:val="Heading2"/>
        <w:pageBreakBefore/>
      </w:pPr>
      <w:bookmarkStart w:id="3" w:name="X361296e2890121034c1340ce51745b9a07d1a3d"/>
      <w:bookmarkEnd w:id="2"/>
      <w:r>
        <w:t>1. The list exists and is current (not the dead 2021 doc)</w:t>
      </w:r>
    </w:p>
    <w:p w14:paraId="531F3FCB" w14:textId="77777777" w:rsidR="002A0107" w:rsidRDefault="004C089A" w:rsidP="00F6017A">
      <w:pPr>
        <w:pStyle w:val="BlockText"/>
        <w:pBdr>
          <w:top w:val="single" w:sz="8" w:space="1" w:color="1F3B5F"/>
          <w:left w:val="single" w:sz="8" w:space="4" w:color="1F3B5F"/>
          <w:bottom w:val="single" w:sz="8" w:space="1" w:color="1F3B5F"/>
          <w:right w:val="single" w:sz="8" w:space="4" w:color="1F3B5F"/>
        </w:pBdr>
        <w:shd w:val="clear" w:color="auto" w:fill="E2EBF6"/>
        <w:spacing w:before="120" w:after="120"/>
        <w:ind w:left="200" w:right="200"/>
      </w:pPr>
      <w:r>
        <w:rPr>
          <w:b/>
          <w:bCs/>
        </w:rPr>
        <w:t xml:space="preserve">This LMFM roster </w:t>
      </w:r>
      <w:r>
        <w:rPr>
          <w:b/>
          <w:bCs/>
          <w:i/>
          <w:iCs/>
        </w:rPr>
        <w:t>is</w:t>
      </w:r>
      <w:r>
        <w:rPr>
          <w:b/>
          <w:bCs/>
        </w:rPr>
        <w:t xml:space="preserve"> the VCH list — there is no separate “Vancouver Coastal Health” engineering prequalification.</w:t>
      </w:r>
      <w:r>
        <w:t xml:space="preserve"> The four Lower Mainland health authorities (Fraser Health, PHSA, Providence and </w:t>
      </w:r>
      <w:r>
        <w:rPr>
          <w:b/>
          <w:bCs/>
        </w:rPr>
        <w:t>VCH</w:t>
      </w:r>
      <w:r>
        <w:t xml:space="preserve">) consolidated facilities procurement into one shared service, Lower Mainland Facilities Management (LMFM). The live </w:t>
      </w:r>
      <w:r>
        <w:rPr>
          <w:rStyle w:val="VerbatimChar"/>
        </w:rPr>
        <w:t>professional_Engineers_List.pdf</w:t>
      </w:r>
      <w:r>
        <w:t xml:space="preserve"> carries </w:t>
      </w:r>
      <w:r>
        <w:rPr>
          <w:b/>
          <w:bCs/>
        </w:rPr>
        <w:t>three logos on its masthead — Fraser Health, PHSA, and Vancouver Coastal Health</w:t>
      </w:r>
      <w:r>
        <w:t xml:space="preserve"> — so VCH is on the roster’s own header. The list and the </w:t>
      </w:r>
      <w:r>
        <w:rPr>
          <w:rStyle w:val="VerbatimChar"/>
        </w:rPr>
        <w:t>FMP@fraserhealth.ca</w:t>
      </w:r>
      <w:r>
        <w:t xml:space="preserve"> mailbox live on the</w:t>
      </w:r>
      <w:r>
        <w:t xml:space="preserve"> </w:t>
      </w:r>
      <w:r>
        <w:rPr>
          <w:rStyle w:val="VerbatimChar"/>
        </w:rPr>
        <w:t>fraserhealth.ca</w:t>
      </w:r>
      <w:r>
        <w:t xml:space="preserve"> domain only because Fraser Health is the administrative </w:t>
      </w:r>
      <w:r>
        <w:rPr>
          <w:i/>
          <w:iCs/>
        </w:rPr>
        <w:t>host</w:t>
      </w:r>
      <w:r>
        <w:t xml:space="preserve"> of the shared desk (</w:t>
      </w:r>
      <w:r>
        <w:rPr>
          <w:rStyle w:val="VerbatimChar"/>
        </w:rPr>
        <w:t>FMP</w:t>
      </w:r>
      <w:r>
        <w:t xml:space="preserve"> </w:t>
      </w:r>
      <w:r>
        <w:t xml:space="preserve">= Facilities Management Procurement, the LMFM desk), not because it is Fraser-Health-only. Being on this list makes KOR eligible for VCH’s non-acute / small-mid engineering work. (The only adjacent roster is a separate PHSA Supply Chain </w:t>
      </w:r>
      <w:r>
        <w:rPr>
          <w:i/>
          <w:iCs/>
        </w:rPr>
        <w:t>generic consulting</w:t>
      </w:r>
      <w:r>
        <w:t xml:space="preserve"> list — also shared across all four, not a VCH-specific structural list.)</w:t>
      </w:r>
    </w:p>
    <w:p w14:paraId="70DF2908" w14:textId="77777777" w:rsidR="002A0107" w:rsidRDefault="004C089A">
      <w:pPr>
        <w:pStyle w:val="Compact"/>
        <w:numPr>
          <w:ilvl w:val="0"/>
          <w:numId w:val="3"/>
        </w:numPr>
      </w:pPr>
      <w:r>
        <w:rPr>
          <w:b/>
          <w:bCs/>
        </w:rPr>
        <w:t>Owner of the mechanism:</w:t>
      </w:r>
      <w:r>
        <w:t xml:space="preserve"> Lower Mainland Facilities Management (LMFM) / the Facilities Management Procurement (FMP) division — shared procurement acting on behalf of Fraser Health, PHSA, Providence Health Care and Vancouver Coastal Health. Contact FMP@fraserhealth.ca.</w:t>
      </w:r>
    </w:p>
    <w:p w14:paraId="3C361363" w14:textId="77777777" w:rsidR="002A0107" w:rsidRDefault="004C089A">
      <w:pPr>
        <w:pStyle w:val="Compact"/>
        <w:numPr>
          <w:ilvl w:val="0"/>
          <w:numId w:val="3"/>
        </w:numPr>
      </w:pPr>
      <w:r>
        <w:rPr>
          <w:b/>
          <w:bCs/>
        </w:rPr>
        <w:t>What it produces:</w:t>
      </w:r>
      <w:r>
        <w:t xml:space="preserve"> 16 category-specific pre-qualified rosters, one of which is “Engineers,” which carries an explicit Structural discipline alongside Civil, Mechanical, Electrical, Geotechnical, Acoustical, Commissioning, Communication, Energy, Environmental, Technology and Transportation.</w:t>
      </w:r>
    </w:p>
    <w:p w14:paraId="0192A3FF" w14:textId="77777777" w:rsidR="002A0107" w:rsidRDefault="004C089A">
      <w:pPr>
        <w:pStyle w:val="Compact"/>
        <w:numPr>
          <w:ilvl w:val="0"/>
          <w:numId w:val="3"/>
        </w:numPr>
      </w:pPr>
      <w:r>
        <w:rPr>
          <w:b/>
          <w:bCs/>
        </w:rPr>
        <w:t>Proof it is current, not lapsed:</w:t>
      </w:r>
      <w:r>
        <w:t xml:space="preserve"> the live engineers list is RFPQ26-PE, </w:t>
      </w:r>
      <w:r>
        <w:rPr>
          <w:b/>
          <w:bCs/>
        </w:rPr>
        <w:t>effective 29 May 2026</w:t>
      </w:r>
      <w:r>
        <w:t>; the companion mechanical list is dated effective 1 Apr 2026. This supersedes the corrupted “Prequal_Engineers_Aug2021” artifact our prior research could not open. Fraser Health’s business-opportunities page (last updated 22 Jun 2026) states the lists are “refreshed on an annual basis.”</w:t>
      </w:r>
    </w:p>
    <w:p w14:paraId="71AA17BE" w14:textId="77777777" w:rsidR="002A0107" w:rsidRDefault="004C089A">
      <w:pPr>
        <w:pStyle w:val="Compact"/>
        <w:numPr>
          <w:ilvl w:val="0"/>
          <w:numId w:val="3"/>
        </w:numPr>
      </w:pPr>
      <w:r>
        <w:rPr>
          <w:b/>
          <w:bCs/>
        </w:rPr>
        <w:t>KOR is not on it.</w:t>
      </w:r>
      <w:r>
        <w:t xml:space="preserve"> The structural-tagged firms on the current roster include Bush Bohlman, Glotman Simpson, RJC, Fast+Epp, DIALOG, Entuitive, CWMM, Stantec, WSP and ~10 others — and no KOR Structural entry.</w:t>
      </w:r>
    </w:p>
    <w:p w14:paraId="255DD760" w14:textId="77777777" w:rsidR="002A0107" w:rsidRDefault="004C089A" w:rsidP="00F6017A">
      <w:pPr>
        <w:pStyle w:val="Heading2"/>
        <w:pageBreakBefore/>
      </w:pPr>
      <w:bookmarkStart w:id="4" w:name="Xd74c456c1e825b68b91998ad63fc2d35c2225ce"/>
      <w:bookmarkEnd w:id="3"/>
      <w:r>
        <w:lastRenderedPageBreak/>
        <w:t>2. Where to register — the “anything other than what we’re doing” answer</w:t>
      </w:r>
    </w:p>
    <w:p w14:paraId="1C1C4CED" w14:textId="77777777" w:rsidR="002A0107" w:rsidRDefault="004C089A">
      <w:pPr>
        <w:pStyle w:val="FirstParagraph"/>
      </w:pPr>
      <w:r>
        <w:t xml:space="preserve">We already </w:t>
      </w:r>
      <w:r>
        <w:rPr>
          <w:i/>
          <w:iCs/>
        </w:rPr>
        <w:t>see</w:t>
      </w:r>
      <w:r>
        <w:t xml:space="preserve"> every public VCH tender via BC Bid — that is passive visibility. Being </w:t>
      </w:r>
      <w:r>
        <w:rPr>
          <w:i/>
          <w:iCs/>
        </w:rPr>
        <w:t>invited</w:t>
      </w:r>
      <w:r>
        <w:t xml:space="preserve"> to formal/larger non-alliance work requires being on the roster, applied for separately:</w:t>
      </w:r>
    </w:p>
    <w:p w14:paraId="04BFEBC7" w14:textId="77777777" w:rsidR="002A0107" w:rsidRDefault="004C089A">
      <w:pPr>
        <w:pStyle w:val="Compact"/>
        <w:numPr>
          <w:ilvl w:val="0"/>
          <w:numId w:val="4"/>
        </w:numPr>
      </w:pPr>
      <w:r>
        <w:rPr>
          <w:b/>
          <w:bCs/>
        </w:rPr>
        <w:t>Apply through BC Bid + Bonfire together.</w:t>
      </w:r>
      <w:r>
        <w:t xml:space="preserve"> Once a year a Notice of Intent (NOI) is posted on BC Bid inviting new suppliers to begin the pre-qualified application process; the RFPQ submission itself runs through the Fraser Health Bonfire portal at fraserhealth.bonfirehub.ca.</w:t>
      </w:r>
    </w:p>
    <w:p w14:paraId="51C4F64D" w14:textId="77777777" w:rsidR="002A0107" w:rsidRDefault="004C089A">
      <w:pPr>
        <w:pStyle w:val="Compact"/>
        <w:numPr>
          <w:ilvl w:val="0"/>
          <w:numId w:val="4"/>
        </w:numPr>
      </w:pPr>
      <w:r>
        <w:t>Being prequalified gates invitations to formal/larger solicitations and raises the direct-award threshold (~$50k vs ~$25k for non-listed firms).</w:t>
      </w:r>
    </w:p>
    <w:p w14:paraId="0C29CCFB" w14:textId="77777777" w:rsidR="002A0107" w:rsidRDefault="004C089A">
      <w:pPr>
        <w:pStyle w:val="Compact"/>
        <w:numPr>
          <w:ilvl w:val="0"/>
          <w:numId w:val="4"/>
        </w:numPr>
      </w:pPr>
      <w:r>
        <w:t>It is not one-and-done: at each annual refresh, currently-listed firms must re-apply or be removed from the list.</w:t>
      </w:r>
    </w:p>
    <w:p w14:paraId="3AA966F7" w14:textId="77777777" w:rsidR="002A0107" w:rsidRDefault="004C089A">
      <w:pPr>
        <w:pStyle w:val="Compact"/>
        <w:numPr>
          <w:ilvl w:val="0"/>
          <w:numId w:val="4"/>
        </w:numPr>
      </w:pPr>
      <w:r>
        <w:rPr>
          <w:b/>
          <w:bCs/>
        </w:rPr>
        <w:t>Scope nuance (verified):</w:t>
      </w:r>
      <w:r>
        <w:t xml:space="preserve"> non-prequalified firms can still receive small direct awards (under ~$25k); and Bonfire is not the sole portal — it is BC Bid + Bonfire together, with the BC Bid NOI giving the application/submission details.</w:t>
      </w:r>
    </w:p>
    <w:p w14:paraId="0FDFEAE6" w14:textId="77777777" w:rsidR="002A0107" w:rsidRDefault="004C089A">
      <w:pPr>
        <w:pStyle w:val="Compact"/>
        <w:numPr>
          <w:ilvl w:val="0"/>
          <w:numId w:val="4"/>
        </w:numPr>
      </w:pPr>
      <w:r>
        <w:rPr>
          <w:b/>
          <w:bCs/>
        </w:rPr>
        <w:t>Don’t be thrown by the Fraser Health branding.</w:t>
      </w:r>
      <w:r>
        <w:t xml:space="preserve"> The </w:t>
      </w:r>
      <w:r>
        <w:rPr>
          <w:rStyle w:val="VerbatimChar"/>
        </w:rPr>
        <w:t>fraserhealth.bonfirehub.ca</w:t>
      </w:r>
      <w:r>
        <w:t xml:space="preserve"> portal and the </w:t>
      </w:r>
      <w:r>
        <w:rPr>
          <w:rStyle w:val="VerbatimChar"/>
        </w:rPr>
        <w:t>FMP@fraserhealth.ca</w:t>
      </w:r>
      <w:r>
        <w:t xml:space="preserve"> contact are the </w:t>
      </w:r>
      <w:r>
        <w:rPr>
          <w:i/>
          <w:iCs/>
        </w:rPr>
        <w:t>shared</w:t>
      </w:r>
      <w:r>
        <w:t xml:space="preserve"> LMFM desk hosted by Fraser Health on behalf of all four authorities — applying here is applying for VCH work (see §1 callout). There is no VCH-only portal to find.</w:t>
      </w:r>
    </w:p>
    <w:p w14:paraId="1C4332E1" w14:textId="77777777" w:rsidR="002A0107" w:rsidRDefault="004C089A" w:rsidP="00F6017A">
      <w:pPr>
        <w:pStyle w:val="Heading2"/>
        <w:pageBreakBefore/>
      </w:pPr>
      <w:bookmarkStart w:id="5" w:name="the-two-tracks-keep-them-separate"/>
      <w:bookmarkEnd w:id="4"/>
      <w:r>
        <w:t>3. The two tracks — keep them separate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2390"/>
        <w:gridCol w:w="2390"/>
        <w:gridCol w:w="2390"/>
        <w:gridCol w:w="2390"/>
      </w:tblGrid>
      <w:tr w:rsidR="002A0107" w:rsidRPr="00F6017A" w14:paraId="0F3CA7DC" w14:textId="77777777" w:rsidTr="00F60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250" w:type="pct"/>
          </w:tcPr>
          <w:p w14:paraId="5903937D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Track</w:t>
            </w:r>
          </w:p>
        </w:tc>
        <w:tc>
          <w:tcPr>
            <w:tcW w:w="1250" w:type="pct"/>
          </w:tcPr>
          <w:p w14:paraId="793E13A0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Delivery mechanism</w:t>
            </w:r>
          </w:p>
        </w:tc>
        <w:tc>
          <w:tcPr>
            <w:tcW w:w="1250" w:type="pct"/>
          </w:tcPr>
          <w:p w14:paraId="5D83CC92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How KOR gets in</w:t>
            </w:r>
          </w:p>
        </w:tc>
        <w:tc>
          <w:tcPr>
            <w:tcW w:w="1250" w:type="pct"/>
          </w:tcPr>
          <w:p w14:paraId="244BE92A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Status</w:t>
            </w:r>
          </w:p>
        </w:tc>
      </w:tr>
      <w:tr w:rsidR="002A0107" w:rsidRPr="00F6017A" w14:paraId="147DFA0F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250" w:type="pct"/>
          </w:tcPr>
          <w:p w14:paraId="25004DDC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Small / mid + non-acute (LTC, OR renewals, seismic assessments, community health centres, facilities)</w:t>
            </w:r>
          </w:p>
        </w:tc>
        <w:tc>
          <w:tcPr>
            <w:tcW w:w="1250" w:type="pct"/>
          </w:tcPr>
          <w:p w14:paraId="17B7A779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LMFM “Pre-Qualified Engineers” roster — Structural discipline</w:t>
            </w:r>
          </w:p>
        </w:tc>
        <w:tc>
          <w:tcPr>
            <w:tcW w:w="1250" w:type="pct"/>
          </w:tcPr>
          <w:p w14:paraId="7BA0896C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APPLY to the roster via BC Bid NOI + Bonfire at the next refresh</w:t>
            </w:r>
          </w:p>
        </w:tc>
        <w:tc>
          <w:tcPr>
            <w:tcW w:w="1250" w:type="pct"/>
          </w:tcPr>
          <w:p w14:paraId="58C4E47A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b/>
                <w:bCs/>
                <w:sz w:val="19"/>
              </w:rPr>
              <w:t>NET-NEW ACTION — not currently doing this</w:t>
            </w:r>
          </w:p>
        </w:tc>
      </w:tr>
      <w:tr w:rsidR="002A0107" w:rsidRPr="00F6017A" w14:paraId="44628C19" w14:textId="77777777" w:rsidTr="00F6017A">
        <w:trPr>
          <w:cantSplit/>
        </w:trPr>
        <w:tc>
          <w:tcPr>
            <w:tcW w:w="1250" w:type="pct"/>
          </w:tcPr>
          <w:p w14:paraId="3FEECDD7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Marquee acute-care towers (Richmond Yurkovich, VGH Campus, Lions Gate)</w:t>
            </w:r>
          </w:p>
        </w:tc>
        <w:tc>
          <w:tcPr>
            <w:tcW w:w="1250" w:type="pct"/>
          </w:tcPr>
          <w:p w14:paraId="475B9A61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Infrastructure BC competitive-alliance / Single-TOC</w:t>
            </w:r>
          </w:p>
        </w:tc>
        <w:tc>
          <w:tcPr>
            <w:tcW w:w="1250" w:type="pct"/>
          </w:tcPr>
          <w:p w14:paraId="203E5CF2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Teaming with the architect / design-builder (HDR, Kasian, Graham) — structural is a sub on the winning team</w:t>
            </w:r>
          </w:p>
        </w:tc>
        <w:tc>
          <w:tcPr>
            <w:tcW w:w="1250" w:type="pct"/>
          </w:tcPr>
          <w:p w14:paraId="1380845C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Already the VCH dossier strategy; roster does NOT apply</w:t>
            </w:r>
          </w:p>
        </w:tc>
      </w:tr>
    </w:tbl>
    <w:p w14:paraId="13A56A49" w14:textId="77777777" w:rsidR="002A0107" w:rsidRDefault="004C089A" w:rsidP="00F6017A">
      <w:pPr>
        <w:pStyle w:val="Heading2"/>
        <w:pageBreakBefore/>
      </w:pPr>
      <w:bookmarkStart w:id="6" w:name="X891419cbfa574f1dfdad4d887bed2faf46b1c8c"/>
      <w:bookmarkEnd w:id="5"/>
      <w:r>
        <w:t>4. Why the list is irrelevant for the marquee towers</w:t>
      </w:r>
    </w:p>
    <w:p w14:paraId="4BEB25C5" w14:textId="77777777" w:rsidR="002A0107" w:rsidRDefault="004C089A">
      <w:pPr>
        <w:pStyle w:val="FirstParagraph"/>
      </w:pPr>
      <w:r>
        <w:t>Confirmed 3-0 against Infrastructure BC primary sources: VCH’s flagship acute-care projects are delivered via a project-specific Single Target Outturn Cost (TOC) Alliance Selection Process (RFQ then RFP), not a standing roster. Richmond Hospital Phases 2 &amp; 3 ($1.96B, VCH-owned) lists its Alliance Partners as Vancouver Coastal Health, Infrastructure BC, Graham Design Builders LP and HDR Architecture — one integrated team. The RFQ mandates a Respondent team with at least one construction NOP and one design NO</w:t>
      </w:r>
      <w:r>
        <w:t>P as distinct legal entities. A structural firm cannot register directly with the owner for these; it participates only inside a proponent team. So for the towers, the lever is the HDR / Graham / Kasian relationship — exactly as KOR-VCH-Deep-Analysis-2026-06-23 already lays out — and being on any VCH/LMFM list does nothing for them.</w:t>
      </w:r>
    </w:p>
    <w:p w14:paraId="1714D9B3" w14:textId="77777777" w:rsidR="002A0107" w:rsidRDefault="004C089A" w:rsidP="00F6017A">
      <w:pPr>
        <w:pStyle w:val="Heading2"/>
        <w:pageBreakBefore/>
      </w:pPr>
      <w:bookmarkStart w:id="7" w:name="X5337590ee562c6c15a03bb8a8bbe94a519d7c6e"/>
      <w:bookmarkEnd w:id="6"/>
      <w:r>
        <w:t>5. Eligibility + the tier structure (how the roster actually works)</w:t>
      </w:r>
    </w:p>
    <w:p w14:paraId="15F0676B" w14:textId="77777777" w:rsidR="002A0107" w:rsidRDefault="004C089A">
      <w:pPr>
        <w:pStyle w:val="FirstParagraph"/>
      </w:pPr>
      <w:r>
        <w:t>The live list is not a flat yes/no roster — firms are pre-qualified cell-by-cell across two tiers, based on demonstrated reference experience:</w:t>
      </w:r>
    </w:p>
    <w:p w14:paraId="42BC40F9" w14:textId="77777777" w:rsidR="002A0107" w:rsidRDefault="004C089A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Care type:</w:t>
      </w:r>
      <w:r>
        <w:t xml:space="preserve"> Acute Care Projects vs Non-Acute Care Projects (separate columns).</w:t>
      </w:r>
    </w:p>
    <w:p w14:paraId="4B1566C6" w14:textId="77777777" w:rsidR="002A0107" w:rsidRDefault="004C089A">
      <w:pPr>
        <w:pStyle w:val="Compact"/>
        <w:numPr>
          <w:ilvl w:val="0"/>
          <w:numId w:val="5"/>
        </w:numPr>
      </w:pPr>
      <w:r>
        <w:rPr>
          <w:b/>
          <w:bCs/>
        </w:rPr>
        <w:t>Consulting-fee band:</w:t>
      </w:r>
      <w:r>
        <w:t xml:space="preserve"> under $150K | $150K–$1M | $1M–$5M | over $5M.</w:t>
      </w:r>
    </w:p>
    <w:p w14:paraId="0F149D5D" w14:textId="77777777" w:rsidR="002A0107" w:rsidRDefault="004C089A">
      <w:pPr>
        <w:pStyle w:val="Compact"/>
        <w:numPr>
          <w:ilvl w:val="0"/>
          <w:numId w:val="5"/>
        </w:numPr>
      </w:pPr>
      <w:r>
        <w:rPr>
          <w:b/>
          <w:bCs/>
        </w:rPr>
        <w:t>Hard gate:</w:t>
      </w:r>
      <w:r>
        <w:t xml:space="preserve"> EGBC licensure (KOR clears this as an EGBC Accredited Employer since Jul 2023). References are then checked to assign which cells a firm is qualified for.</w:t>
      </w:r>
    </w:p>
    <w:p w14:paraId="24E5ADB0" w14:textId="77777777" w:rsidR="002A0107" w:rsidRDefault="004C089A">
      <w:pPr>
        <w:pStyle w:val="Compact"/>
        <w:numPr>
          <w:ilvl w:val="0"/>
          <w:numId w:val="5"/>
        </w:numPr>
      </w:pPr>
      <w:r>
        <w:rPr>
          <w:b/>
          <w:bCs/>
        </w:rPr>
        <w:t>Strategic read:</w:t>
      </w:r>
      <w:r>
        <w:t xml:space="preserve"> KOR does NOT need acute-care credit to get listed. Small structural firms appear in only 1–2 cells (Equilibrium Consulting, Sense Engineering, Wicke Herfst Maver, C.Y. Loh) — proof you get listed at the band your references support. KOR’s realistic entry is Non-Acute + lower fee bands, which is exactly the “first healthcare credit” play; acute / &gt;$5M cells come later.</w:t>
      </w:r>
    </w:p>
    <w:p w14:paraId="1A44F58F" w14:textId="77777777" w:rsidR="002A0107" w:rsidRDefault="004C089A" w:rsidP="00F6017A">
      <w:pPr>
        <w:pStyle w:val="Heading2"/>
        <w:pageBreakBefore/>
      </w:pPr>
      <w:bookmarkStart w:id="8" w:name="Xad868ee69592f4811d65094bd02324fd5795375"/>
      <w:bookmarkEnd w:id="7"/>
      <w:r>
        <w:t>6. The current Structural roster — KOR confirmed absent (eff. 29 May 2026)</w:t>
      </w:r>
    </w:p>
    <w:p w14:paraId="628D2066" w14:textId="77777777" w:rsidR="002A0107" w:rsidRDefault="004C089A">
      <w:pPr>
        <w:pStyle w:val="FirstParagraph"/>
      </w:pPr>
      <w:r>
        <w:t>The 19 structural-tagged firms on the live RFPQ26-PE list. KOR Structural does not appear (no evidence it was ever listed and dropped — this is a never-applied gap). The healthcare heavyweights are qualified through Acute Care, over-$5M.</w:t>
      </w:r>
    </w:p>
    <w:tbl>
      <w:tblPr>
        <w:tblStyle w:val="GridTable4"/>
        <w:tblW w:w="5000" w:type="pct"/>
        <w:tblCellMar>
          <w:top w:w="40" w:type="dxa"/>
          <w:left w:w="100" w:type="dxa"/>
          <w:bottom w:w="40" w:type="dxa"/>
          <w:right w:w="100" w:type="dxa"/>
        </w:tblCellMar>
        <w:tblLook w:val="0420" w:firstRow="1" w:lastRow="0" w:firstColumn="0" w:lastColumn="0" w:noHBand="0" w:noVBand="1"/>
      </w:tblPr>
      <w:tblGrid>
        <w:gridCol w:w="3188"/>
        <w:gridCol w:w="3187"/>
        <w:gridCol w:w="3185"/>
      </w:tblGrid>
      <w:tr w:rsidR="002A0107" w:rsidRPr="00F6017A" w14:paraId="67908DB9" w14:textId="77777777" w:rsidTr="00F601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667" w:type="pct"/>
          </w:tcPr>
          <w:p w14:paraId="5B20E4C3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Firm</w:t>
            </w:r>
          </w:p>
        </w:tc>
        <w:tc>
          <w:tcPr>
            <w:tcW w:w="1667" w:type="pct"/>
          </w:tcPr>
          <w:p w14:paraId="17F4E269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Top tier qualified</w:t>
            </w:r>
          </w:p>
        </w:tc>
        <w:tc>
          <w:tcPr>
            <w:tcW w:w="1667" w:type="pct"/>
          </w:tcPr>
          <w:p w14:paraId="289E9A42" w14:textId="77777777" w:rsidR="002A0107" w:rsidRPr="00F6017A" w:rsidRDefault="004C089A">
            <w:pPr>
              <w:pStyle w:val="Compact"/>
              <w:rPr>
                <w:b w:val="0"/>
                <w:sz w:val="19"/>
              </w:rPr>
            </w:pPr>
            <w:r w:rsidRPr="00F6017A">
              <w:rPr>
                <w:b w:val="0"/>
                <w:sz w:val="19"/>
              </w:rPr>
              <w:t>Note</w:t>
            </w:r>
          </w:p>
        </w:tc>
      </w:tr>
      <w:tr w:rsidR="002A0107" w:rsidRPr="00F6017A" w14:paraId="16F22670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F99D171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Bush, Bohlman &amp; Partners LLP</w:t>
            </w:r>
          </w:p>
        </w:tc>
        <w:tc>
          <w:tcPr>
            <w:tcW w:w="1667" w:type="pct"/>
          </w:tcPr>
          <w:p w14:paraId="3B04B0B8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Acute, all bands incl. &gt;$5M</w:t>
            </w:r>
          </w:p>
        </w:tc>
        <w:tc>
          <w:tcPr>
            <w:tcW w:w="1667" w:type="pct"/>
          </w:tcPr>
          <w:p w14:paraId="3DFC666D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Healthcare SE incumbent</w:t>
            </w:r>
          </w:p>
        </w:tc>
      </w:tr>
      <w:tr w:rsidR="002A0107" w:rsidRPr="00F6017A" w14:paraId="45EE40EE" w14:textId="77777777" w:rsidTr="00F6017A">
        <w:trPr>
          <w:cantSplit/>
        </w:trPr>
        <w:tc>
          <w:tcPr>
            <w:tcW w:w="1667" w:type="pct"/>
          </w:tcPr>
          <w:p w14:paraId="62B94B10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Read Jones Christoffersen (RJC)</w:t>
            </w:r>
          </w:p>
        </w:tc>
        <w:tc>
          <w:tcPr>
            <w:tcW w:w="1667" w:type="pct"/>
          </w:tcPr>
          <w:p w14:paraId="79817D60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Acute, all bands incl. &gt;$5M</w:t>
            </w:r>
          </w:p>
        </w:tc>
        <w:tc>
          <w:tcPr>
            <w:tcW w:w="1667" w:type="pct"/>
          </w:tcPr>
          <w:p w14:paraId="77B3C089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Healthcare SE incumbent</w:t>
            </w:r>
          </w:p>
        </w:tc>
      </w:tr>
      <w:tr w:rsidR="002A0107" w:rsidRPr="00F6017A" w14:paraId="7EAF7B7F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603DB95C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DIALOG BC</w:t>
            </w:r>
          </w:p>
        </w:tc>
        <w:tc>
          <w:tcPr>
            <w:tcW w:w="1667" w:type="pct"/>
          </w:tcPr>
          <w:p w14:paraId="3AFCE287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Acute, all bands incl. &gt;$5M</w:t>
            </w:r>
          </w:p>
        </w:tc>
        <w:tc>
          <w:tcPr>
            <w:tcW w:w="1667" w:type="pct"/>
          </w:tcPr>
          <w:p w14:paraId="128B224C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Multi-disc. incumbent</w:t>
            </w:r>
          </w:p>
        </w:tc>
      </w:tr>
      <w:tr w:rsidR="002A0107" w:rsidRPr="00F6017A" w14:paraId="696AD5D7" w14:textId="77777777" w:rsidTr="00F6017A">
        <w:trPr>
          <w:cantSplit/>
        </w:trPr>
        <w:tc>
          <w:tcPr>
            <w:tcW w:w="1667" w:type="pct"/>
          </w:tcPr>
          <w:p w14:paraId="2D21B8B0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Entuitive Corporation</w:t>
            </w:r>
          </w:p>
        </w:tc>
        <w:tc>
          <w:tcPr>
            <w:tcW w:w="1667" w:type="pct"/>
          </w:tcPr>
          <w:p w14:paraId="01B71407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Acute, all bands incl. &gt;$5M</w:t>
            </w:r>
          </w:p>
        </w:tc>
        <w:tc>
          <w:tcPr>
            <w:tcW w:w="1667" w:type="pct"/>
          </w:tcPr>
          <w:p w14:paraId="67880D15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Holds Richmond Yurkovich</w:t>
            </w:r>
          </w:p>
        </w:tc>
      </w:tr>
      <w:tr w:rsidR="002A0107" w:rsidRPr="00F6017A" w14:paraId="467B2790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429A8993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Stantec Consulting Ltd.</w:t>
            </w:r>
          </w:p>
        </w:tc>
        <w:tc>
          <w:tcPr>
            <w:tcW w:w="1667" w:type="pct"/>
          </w:tcPr>
          <w:p w14:paraId="3D9C9888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Acute, all bands incl. &gt;$5M</w:t>
            </w:r>
          </w:p>
        </w:tc>
        <w:tc>
          <w:tcPr>
            <w:tcW w:w="1667" w:type="pct"/>
          </w:tcPr>
          <w:p w14:paraId="3B9461DD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Multi-disc. major</w:t>
            </w:r>
          </w:p>
        </w:tc>
      </w:tr>
      <w:tr w:rsidR="002A0107" w:rsidRPr="00F6017A" w14:paraId="4192481C" w14:textId="77777777" w:rsidTr="00F6017A">
        <w:trPr>
          <w:cantSplit/>
        </w:trPr>
        <w:tc>
          <w:tcPr>
            <w:tcW w:w="1667" w:type="pct"/>
          </w:tcPr>
          <w:p w14:paraId="7DA995B4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Glotman Simpson</w:t>
            </w:r>
          </w:p>
        </w:tc>
        <w:tc>
          <w:tcPr>
            <w:tcW w:w="1667" w:type="pct"/>
          </w:tcPr>
          <w:p w14:paraId="6DE104C9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 + Non-acute, to $5M</w:t>
            </w:r>
          </w:p>
        </w:tc>
        <w:tc>
          <w:tcPr>
            <w:tcW w:w="1667" w:type="pct"/>
          </w:tcPr>
          <w:p w14:paraId="6C81908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VCH acute history</w:t>
            </w:r>
          </w:p>
        </w:tc>
      </w:tr>
      <w:tr w:rsidR="002A0107" w:rsidRPr="00F6017A" w14:paraId="5EB8DBB6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23E53583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Fast + Epp Structural Engineers</w:t>
            </w:r>
          </w:p>
        </w:tc>
        <w:tc>
          <w:tcPr>
            <w:tcW w:w="1667" w:type="pct"/>
          </w:tcPr>
          <w:p w14:paraId="2B42A62D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 + Non-acute, to $5M</w:t>
            </w:r>
          </w:p>
        </w:tc>
        <w:tc>
          <w:tcPr>
            <w:tcW w:w="1667" w:type="pct"/>
          </w:tcPr>
          <w:p w14:paraId="36EDE00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Timber/civic</w:t>
            </w:r>
          </w:p>
        </w:tc>
      </w:tr>
      <w:tr w:rsidR="002A0107" w:rsidRPr="00F6017A" w14:paraId="6089A0DB" w14:textId="77777777" w:rsidTr="00F6017A">
        <w:trPr>
          <w:cantSplit/>
        </w:trPr>
        <w:tc>
          <w:tcPr>
            <w:tcW w:w="1667" w:type="pct"/>
          </w:tcPr>
          <w:p w14:paraId="74D1CD8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WSP Canada Inc.</w:t>
            </w:r>
          </w:p>
        </w:tc>
        <w:tc>
          <w:tcPr>
            <w:tcW w:w="1667" w:type="pct"/>
          </w:tcPr>
          <w:p w14:paraId="2FC689EA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 + Non-acute, to $5M</w:t>
            </w:r>
          </w:p>
        </w:tc>
        <w:tc>
          <w:tcPr>
            <w:tcW w:w="1667" w:type="pct"/>
          </w:tcPr>
          <w:p w14:paraId="6EA58FC6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Multi-disc. major</w:t>
            </w:r>
          </w:p>
        </w:tc>
      </w:tr>
      <w:tr w:rsidR="002A0107" w:rsidRPr="00F6017A" w14:paraId="1401E15A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AECCA34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Salas O’Brien Canada</w:t>
            </w:r>
          </w:p>
        </w:tc>
        <w:tc>
          <w:tcPr>
            <w:tcW w:w="1667" w:type="pct"/>
          </w:tcPr>
          <w:p w14:paraId="0915DBCD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 + Non-acute, to $5M</w:t>
            </w:r>
          </w:p>
        </w:tc>
        <w:tc>
          <w:tcPr>
            <w:tcW w:w="1667" w:type="pct"/>
          </w:tcPr>
          <w:p w14:paraId="269DEFB6" w14:textId="77777777" w:rsidR="002A0107" w:rsidRPr="00F6017A" w:rsidRDefault="002A0107">
            <w:pPr>
              <w:pStyle w:val="Compact"/>
              <w:rPr>
                <w:sz w:val="19"/>
              </w:rPr>
            </w:pPr>
          </w:p>
        </w:tc>
      </w:tr>
      <w:tr w:rsidR="002A0107" w:rsidRPr="00F6017A" w14:paraId="7A268800" w14:textId="77777777" w:rsidTr="00F6017A">
        <w:trPr>
          <w:cantSplit/>
        </w:trPr>
        <w:tc>
          <w:tcPr>
            <w:tcW w:w="1667" w:type="pct"/>
          </w:tcPr>
          <w:p w14:paraId="272EF112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AtkinsRéalis Canada Inc.</w:t>
            </w:r>
          </w:p>
        </w:tc>
        <w:tc>
          <w:tcPr>
            <w:tcW w:w="1667" w:type="pct"/>
          </w:tcPr>
          <w:p w14:paraId="4EE2FBEE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Acute, to $1M</w:t>
            </w:r>
          </w:p>
        </w:tc>
        <w:tc>
          <w:tcPr>
            <w:tcW w:w="1667" w:type="pct"/>
          </w:tcPr>
          <w:p w14:paraId="74E7C2BB" w14:textId="77777777" w:rsidR="002A0107" w:rsidRPr="00F6017A" w:rsidRDefault="002A0107">
            <w:pPr>
              <w:pStyle w:val="Compact"/>
              <w:rPr>
                <w:sz w:val="19"/>
              </w:rPr>
            </w:pPr>
          </w:p>
        </w:tc>
      </w:tr>
      <w:tr w:rsidR="002A0107" w:rsidRPr="00F6017A" w14:paraId="5B6FBFE8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333C62CF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CWMM / CIMA / C.Y. Loh / Weiler Smith Bowers</w:t>
            </w:r>
          </w:p>
        </w:tc>
        <w:tc>
          <w:tcPr>
            <w:tcW w:w="1667" w:type="pct"/>
          </w:tcPr>
          <w:p w14:paraId="2EA76DF3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Mixed mid bands</w:t>
            </w:r>
          </w:p>
        </w:tc>
        <w:tc>
          <w:tcPr>
            <w:tcW w:w="1667" w:type="pct"/>
          </w:tcPr>
          <w:p w14:paraId="6831D971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Mid-size structural</w:t>
            </w:r>
          </w:p>
        </w:tc>
      </w:tr>
      <w:tr w:rsidR="002A0107" w:rsidRPr="00F6017A" w14:paraId="7EB8E35C" w14:textId="77777777" w:rsidTr="00F6017A">
        <w:trPr>
          <w:cantSplit/>
        </w:trPr>
        <w:tc>
          <w:tcPr>
            <w:tcW w:w="1667" w:type="pct"/>
          </w:tcPr>
          <w:p w14:paraId="69220AC9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Associated Eng / Equilibrium / Sense / Wicke Herfst Maver / RDH</w:t>
            </w:r>
          </w:p>
        </w:tc>
        <w:tc>
          <w:tcPr>
            <w:tcW w:w="1667" w:type="pct"/>
          </w:tcPr>
          <w:p w14:paraId="5A04A340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1–2 cells only</w:t>
            </w:r>
          </w:p>
        </w:tc>
        <w:tc>
          <w:tcPr>
            <w:tcW w:w="1667" w:type="pct"/>
          </w:tcPr>
          <w:p w14:paraId="7EF7AD1B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sz w:val="19"/>
              </w:rPr>
              <w:t>Small-band entrants</w:t>
            </w:r>
          </w:p>
        </w:tc>
      </w:tr>
      <w:tr w:rsidR="002A0107" w:rsidRPr="00F6017A" w14:paraId="430BB31F" w14:textId="77777777" w:rsidTr="00F60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tcW w:w="1667" w:type="pct"/>
          </w:tcPr>
          <w:p w14:paraId="15F738AF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b/>
                <w:bCs/>
                <w:sz w:val="19"/>
              </w:rPr>
              <w:t>KOR Structural</w:t>
            </w:r>
          </w:p>
        </w:tc>
        <w:tc>
          <w:tcPr>
            <w:tcW w:w="1667" w:type="pct"/>
          </w:tcPr>
          <w:p w14:paraId="48465995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b/>
                <w:bCs/>
                <w:sz w:val="19"/>
              </w:rPr>
              <w:t>NOT ON THE LIST</w:t>
            </w:r>
          </w:p>
        </w:tc>
        <w:tc>
          <w:tcPr>
            <w:tcW w:w="1667" w:type="pct"/>
          </w:tcPr>
          <w:p w14:paraId="4DE771F5" w14:textId="77777777" w:rsidR="002A0107" w:rsidRPr="00F6017A" w:rsidRDefault="004C089A">
            <w:pPr>
              <w:pStyle w:val="Compact"/>
              <w:rPr>
                <w:sz w:val="19"/>
              </w:rPr>
            </w:pPr>
            <w:r w:rsidRPr="00F6017A">
              <w:rPr>
                <w:b/>
                <w:bCs/>
                <w:sz w:val="19"/>
              </w:rPr>
              <w:t>The gap this briefing addresses</w:t>
            </w:r>
          </w:p>
        </w:tc>
      </w:tr>
    </w:tbl>
    <w:p w14:paraId="32E3946A" w14:textId="77777777" w:rsidR="002A0107" w:rsidRDefault="004C089A" w:rsidP="00F6017A">
      <w:pPr>
        <w:pStyle w:val="Heading2"/>
        <w:pageBreakBefore/>
      </w:pPr>
      <w:bookmarkStart w:id="9" w:name="residual-unknowns-minor"/>
      <w:bookmarkEnd w:id="8"/>
      <w:r>
        <w:t>7. Residual unknowns (minor)</w:t>
      </w:r>
    </w:p>
    <w:p w14:paraId="5FC16C6A" w14:textId="77777777" w:rsidR="002A0107" w:rsidRDefault="004C089A">
      <w:pPr>
        <w:pStyle w:val="Compact"/>
        <w:numPr>
          <w:ilvl w:val="0"/>
          <w:numId w:val="6"/>
        </w:numPr>
      </w:pPr>
      <w:r>
        <w:t>Exact 2026 refresh posting/closing dates — confirm with FMP@fraserhealth.ca (pattern points to a ~Oct close, list effective ~late May 2027).</w:t>
      </w:r>
    </w:p>
    <w:p w14:paraId="1A690A68" w14:textId="77777777" w:rsidR="002A0107" w:rsidRDefault="004C089A">
      <w:pPr>
        <w:pStyle w:val="Compact"/>
        <w:numPr>
          <w:ilvl w:val="0"/>
          <w:numId w:val="6"/>
        </w:numPr>
      </w:pPr>
      <w:r>
        <w:t>Whether VCH or PHSA maintain any separate engineering vendor-of-record outside the shared LMFM roster (PHSA’s generic “pre-qualified consulting organizations” list scope for structural is unconfirmed — the LMFM Engineers list above is the relevant one).</w:t>
      </w:r>
    </w:p>
    <w:p w14:paraId="4AC100D6" w14:textId="77777777" w:rsidR="002A0107" w:rsidRDefault="004C089A" w:rsidP="00F6017A">
      <w:pPr>
        <w:pStyle w:val="Heading2"/>
        <w:pageBreakBefore/>
      </w:pPr>
      <w:bookmarkStart w:id="10" w:name="key-sources-primary-unless-noted"/>
      <w:bookmarkEnd w:id="9"/>
      <w:r>
        <w:lastRenderedPageBreak/>
        <w:t>8. Key sources (primary unless noted)</w:t>
      </w:r>
    </w:p>
    <w:p w14:paraId="6949EF66" w14:textId="77777777" w:rsidR="002A0107" w:rsidRDefault="004C089A">
      <w:pPr>
        <w:pStyle w:val="Compact"/>
        <w:numPr>
          <w:ilvl w:val="0"/>
          <w:numId w:val="7"/>
        </w:numPr>
      </w:pPr>
      <w:r>
        <w:rPr>
          <w:b/>
          <w:bCs/>
        </w:rPr>
        <w:t>LMFM Pre-Qualified Professional Engineers list</w:t>
      </w:r>
      <w:r>
        <w:t xml:space="preserve"> — PRIMARY, eff. 29 May 2026 (the live roster; tier structure + full structural firm set; KOR-absence confirmed here): fraserhealth.ca/…/professional_Engineers_List.pdf</w:t>
      </w:r>
    </w:p>
    <w:p w14:paraId="54721E34" w14:textId="77777777" w:rsidR="002A0107" w:rsidRDefault="004C089A">
      <w:pPr>
        <w:pStyle w:val="Compact"/>
        <w:numPr>
          <w:ilvl w:val="0"/>
          <w:numId w:val="7"/>
        </w:numPr>
      </w:pPr>
      <w:r>
        <w:t>Fraser Health — Business opportunities (16 rosters incl. Engineers; annual refresh; apply via BC Bid + Bonfire; FMP@fraserhealth.ca): fraserhealth.ca/about-us/business-opportunities</w:t>
      </w:r>
    </w:p>
    <w:p w14:paraId="38FD9E49" w14:textId="77777777" w:rsidR="002A0107" w:rsidRDefault="004C089A">
      <w:pPr>
        <w:pStyle w:val="Compact"/>
        <w:numPr>
          <w:ilvl w:val="0"/>
          <w:numId w:val="7"/>
        </w:numPr>
      </w:pPr>
      <w:r>
        <w:t>2025 RFPQ Annual Pre-Qualification Refresh — closed 31 Oct 2025 (establishes the annual fall cadence that produced the May-2026 list)</w:t>
      </w:r>
    </w:p>
    <w:p w14:paraId="74AE37D9" w14:textId="77777777" w:rsidR="002A0107" w:rsidRDefault="004C089A">
      <w:pPr>
        <w:pStyle w:val="Compact"/>
        <w:numPr>
          <w:ilvl w:val="0"/>
          <w:numId w:val="7"/>
        </w:numPr>
      </w:pPr>
      <w:r>
        <w:t>RFPQ24-PE Request for Pre-Qualification for Professional Engineers (prior cycle; EGBC licensure requirement; Structural discipline)</w:t>
      </w:r>
    </w:p>
    <w:p w14:paraId="5AA17E29" w14:textId="77777777" w:rsidR="002A0107" w:rsidRDefault="004C089A">
      <w:pPr>
        <w:pStyle w:val="Compact"/>
        <w:numPr>
          <w:ilvl w:val="0"/>
          <w:numId w:val="7"/>
        </w:numPr>
      </w:pPr>
      <w:r>
        <w:t>Fraser Health Bonfire portal (where RFPQ submissions are made): fraserhealth.bonfirehub.ca</w:t>
      </w:r>
    </w:p>
    <w:p w14:paraId="0071CE54" w14:textId="77777777" w:rsidR="002A0107" w:rsidRDefault="004C089A">
      <w:pPr>
        <w:pStyle w:val="Compact"/>
        <w:numPr>
          <w:ilvl w:val="0"/>
          <w:numId w:val="7"/>
        </w:numPr>
      </w:pPr>
      <w:r>
        <w:t>CanadaBuys RFPQ notices bc156485 / bc157001 (mechanism; “re-apply or be removed”; Bonfire submission)</w:t>
      </w:r>
    </w:p>
    <w:p w14:paraId="2905216B" w14:textId="77777777" w:rsidR="002A0107" w:rsidRDefault="004C089A">
      <w:pPr>
        <w:pStyle w:val="Compact"/>
        <w:numPr>
          <w:ilvl w:val="0"/>
          <w:numId w:val="7"/>
        </w:numPr>
      </w:pPr>
      <w:r>
        <w:t>Infrastructure BC — Richmond Hospital Phases 2 &amp; 3 + Competitive Alliance publication + RFQ-Conformed PDF (alliance delivery; team-only entry)</w:t>
      </w:r>
    </w:p>
    <w:p w14:paraId="44DFC27D" w14:textId="77777777" w:rsidR="002A0107" w:rsidRDefault="004C089A">
      <w:pPr>
        <w:pStyle w:val="FirstParagraph"/>
      </w:pPr>
      <w:r>
        <w:rPr>
          <w:i/>
          <w:iCs/>
        </w:rPr>
        <w:t>Companion detail: KOR-VCH-Deep-Analysis-2026-06-23 (pipeline, decision-makers, teaming strategy). This briefing resolves that dossier’s one open item — the LMFM prequalification list.</w:t>
      </w:r>
      <w:bookmarkEnd w:id="0"/>
      <w:bookmarkEnd w:id="10"/>
    </w:p>
    <w:sectPr w:rsidR="002A010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70F2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64D3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44803906">
    <w:abstractNumId w:val="0"/>
  </w:num>
  <w:num w:numId="2" w16cid:durableId="1957132431">
    <w:abstractNumId w:val="1"/>
  </w:num>
  <w:num w:numId="3" w16cid:durableId="645429365">
    <w:abstractNumId w:val="1"/>
  </w:num>
  <w:num w:numId="4" w16cid:durableId="1306541282">
    <w:abstractNumId w:val="1"/>
  </w:num>
  <w:num w:numId="5" w16cid:durableId="1085810028">
    <w:abstractNumId w:val="1"/>
  </w:num>
  <w:num w:numId="6" w16cid:durableId="199898959">
    <w:abstractNumId w:val="1"/>
  </w:num>
  <w:num w:numId="7" w16cid:durableId="4281647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0107"/>
    <w:rsid w:val="001D4488"/>
    <w:rsid w:val="002A0107"/>
    <w:rsid w:val="004C089A"/>
    <w:rsid w:val="00F6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F48E"/>
  <w15:docId w15:val="{531C6FEB-FE85-4EC3-BA7D-81250E4C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/>
    </w:pPr>
    <w:rPr>
      <w:rFonts w:ascii="Calibri" w:hAnsi="Calibri" w:cs="Calibri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80"/>
      <w:outlineLvl w:val="0"/>
    </w:pPr>
    <w:rPr>
      <w:rFonts w:eastAsiaTheme="majorEastAsia"/>
      <w:b/>
      <w:color w:val="1F3B5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/>
      <w:outlineLvl w:val="2"/>
    </w:pPr>
    <w:rPr>
      <w:rFonts w:eastAsiaTheme="majorEastAsia"/>
      <w:b/>
      <w:color w:val="44546A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before="240" w:after="80"/>
      <w:contextualSpacing/>
      <w:jc w:val="center"/>
    </w:pPr>
    <w:rPr>
      <w:rFonts w:eastAsiaTheme="majorEastAsia"/>
      <w:b/>
      <w:color w:val="1F3B5F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Calibri" w:eastAsiaTheme="majorEastAsia" w:hAnsi="Calibri" w:cs="Calibri"/>
      <w:b/>
      <w:color w:val="1F3B5F"/>
      <w:sz w:val="40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Calibri" w:eastAsiaTheme="majorEastAsia" w:hAnsi="Calibri" w:cs="Calibri"/>
      <w:b/>
      <w:color w:val="1F3B5F"/>
      <w:sz w:val="3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Calibri" w:eastAsiaTheme="majorEastAsia" w:hAnsi="Calibri" w:cs="Calibr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Calibri" w:eastAsiaTheme="majorEastAsia" w:hAnsi="Calibri" w:cs="Calibri"/>
      <w:b/>
      <w:color w:val="44546A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GridTable4">
    <w:name w:val="Grid Table 4"/>
    <w:basedOn w:val="TableNormal"/>
    <w:uiPriority w:val="49"/>
    <w:rsid w:val="00F6017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1741</Words>
  <Characters>9925</Characters>
  <Application>Microsoft Office Word</Application>
  <DocSecurity>0</DocSecurity>
  <Lines>82</Lines>
  <Paragraphs>23</Paragraphs>
  <ScaleCrop>false</ScaleCrop>
  <Company/>
  <LinksUpToDate>false</LinksUpToDate>
  <CharactersWithSpaces>11643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Ian Lalonde</cp:lastModifiedBy>
  <cp:revision>2</cp:revision>
  <dcterms:created xsi:type="dcterms:W3CDTF">2026-06-24T21:11:00Z</dcterms:created>
  <dcterms:modified xsi:type="dcterms:W3CDTF">2026-06-24T21:12:00Z</dcterms:modified>
</cp:coreProperties>
</file>