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1535959239"/>
        <w:docPartObj>
          <w:docPartGallery w:val="Table of Contents"/>
          <w:docPartUnique/>
        </w:docPartObj>
      </w:sdtPr>
      <w:sdtEndPr>
        <w:rPr>
          <w:rFonts w:ascii="Georgia" w:hAnsi="Georgia"/>
          <w:sz w:val="20"/>
        </w:rPr>
      </w:sdtEndPr>
      <w:sdtContent>
        <w:p w14:paraId="57D4CA55" w14:textId="77777777" w:rsidR="006B1F93" w:rsidRDefault="00BF4498" w:rsidP="0070693F">
          <w:pPr>
            <w:pStyle w:val="TOCHeading"/>
            <w:pageBreakBefore/>
          </w:pPr>
          <w:r>
            <w:t>Table of Contents</w:t>
          </w:r>
        </w:p>
        <w:p w14:paraId="1962F80C" w14:textId="77777777" w:rsidR="0070693F" w:rsidRDefault="00BF4498">
          <w:pPr>
            <w:pStyle w:val="TOC1"/>
            <w:tabs>
              <w:tab w:val="right" w:leader="dot" w:pos="9350"/>
            </w:tabs>
            <w:rPr>
              <w:noProof/>
            </w:rPr>
          </w:pPr>
          <w:r>
            <w:fldChar w:fldCharType="begin"/>
          </w:r>
          <w:r>
            <w:instrText>TOC \o "1-2" \h \z \u</w:instrText>
          </w:r>
          <w:r>
            <w:fldChar w:fldCharType="separate"/>
          </w:r>
          <w:hyperlink w:anchor="_Toc235282776" w:history="1">
            <w:r w:rsidR="0070693F" w:rsidRPr="0010430F">
              <w:rPr>
                <w:rStyle w:val="Hyperlink"/>
                <w:noProof/>
              </w:rPr>
              <w:t>IPD Contract Mechanics, Economics, Insurance &amp; Legal Risk — 2026-07-18 Addendum</w:t>
            </w:r>
            <w:r w:rsidR="0070693F">
              <w:rPr>
                <w:noProof/>
                <w:webHidden/>
              </w:rPr>
              <w:tab/>
            </w:r>
            <w:r w:rsidR="0070693F">
              <w:rPr>
                <w:noProof/>
                <w:webHidden/>
              </w:rPr>
              <w:fldChar w:fldCharType="begin"/>
            </w:r>
            <w:r w:rsidR="0070693F">
              <w:rPr>
                <w:noProof/>
                <w:webHidden/>
              </w:rPr>
              <w:instrText xml:space="preserve"> PAGEREF _Toc235282776 \h </w:instrText>
            </w:r>
            <w:r w:rsidR="0070693F">
              <w:rPr>
                <w:noProof/>
                <w:webHidden/>
              </w:rPr>
            </w:r>
            <w:r w:rsidR="0070693F">
              <w:rPr>
                <w:noProof/>
                <w:webHidden/>
              </w:rPr>
              <w:fldChar w:fldCharType="separate"/>
            </w:r>
            <w:r w:rsidR="0070693F">
              <w:rPr>
                <w:noProof/>
                <w:webHidden/>
              </w:rPr>
              <w:t>1</w:t>
            </w:r>
            <w:r w:rsidR="0070693F">
              <w:rPr>
                <w:noProof/>
                <w:webHidden/>
              </w:rPr>
              <w:fldChar w:fldCharType="end"/>
            </w:r>
          </w:hyperlink>
        </w:p>
        <w:p w14:paraId="04D29DAF" w14:textId="77777777" w:rsidR="0070693F" w:rsidRDefault="0070693F">
          <w:pPr>
            <w:pStyle w:val="TOC2"/>
            <w:tabs>
              <w:tab w:val="right" w:leader="dot" w:pos="9350"/>
            </w:tabs>
            <w:rPr>
              <w:noProof/>
            </w:rPr>
          </w:pPr>
          <w:hyperlink w:anchor="_Toc235282777" w:history="1">
            <w:r w:rsidRPr="0010430F">
              <w:rPr>
                <w:rStyle w:val="Hyperlink"/>
                <w:noProof/>
              </w:rPr>
              <w:t>1. CCDC 30-2025 — what actually changed versus CCDC 30-2018</w:t>
            </w:r>
            <w:r>
              <w:rPr>
                <w:noProof/>
                <w:webHidden/>
              </w:rPr>
              <w:tab/>
            </w:r>
            <w:r>
              <w:rPr>
                <w:noProof/>
                <w:webHidden/>
              </w:rPr>
              <w:fldChar w:fldCharType="begin"/>
            </w:r>
            <w:r>
              <w:rPr>
                <w:noProof/>
                <w:webHidden/>
              </w:rPr>
              <w:instrText xml:space="preserve"> PAGEREF _Toc235282777 \h </w:instrText>
            </w:r>
            <w:r>
              <w:rPr>
                <w:noProof/>
                <w:webHidden/>
              </w:rPr>
            </w:r>
            <w:r>
              <w:rPr>
                <w:noProof/>
                <w:webHidden/>
              </w:rPr>
              <w:fldChar w:fldCharType="separate"/>
            </w:r>
            <w:r>
              <w:rPr>
                <w:noProof/>
                <w:webHidden/>
              </w:rPr>
              <w:t>1</w:t>
            </w:r>
            <w:r>
              <w:rPr>
                <w:noProof/>
                <w:webHidden/>
              </w:rPr>
              <w:fldChar w:fldCharType="end"/>
            </w:r>
          </w:hyperlink>
        </w:p>
        <w:p w14:paraId="1EF7F454" w14:textId="77777777" w:rsidR="0070693F" w:rsidRDefault="0070693F">
          <w:pPr>
            <w:pStyle w:val="TOC2"/>
            <w:tabs>
              <w:tab w:val="right" w:leader="dot" w:pos="9350"/>
            </w:tabs>
            <w:rPr>
              <w:noProof/>
            </w:rPr>
          </w:pPr>
          <w:hyperlink w:anchor="_Toc235282778" w:history="1">
            <w:r w:rsidRPr="0010430F">
              <w:rPr>
                <w:rStyle w:val="Hyperlink"/>
                <w:noProof/>
              </w:rPr>
              <w:t>2. Structural-engineer-specific IPD economics — still does not exist, and now confirmed against the best possible source</w:t>
            </w:r>
            <w:r>
              <w:rPr>
                <w:noProof/>
                <w:webHidden/>
              </w:rPr>
              <w:tab/>
            </w:r>
            <w:r>
              <w:rPr>
                <w:noProof/>
                <w:webHidden/>
              </w:rPr>
              <w:fldChar w:fldCharType="begin"/>
            </w:r>
            <w:r>
              <w:rPr>
                <w:noProof/>
                <w:webHidden/>
              </w:rPr>
              <w:instrText xml:space="preserve"> PAGEREF _Toc235282778 \h </w:instrText>
            </w:r>
            <w:r>
              <w:rPr>
                <w:noProof/>
                <w:webHidden/>
              </w:rPr>
            </w:r>
            <w:r>
              <w:rPr>
                <w:noProof/>
                <w:webHidden/>
              </w:rPr>
              <w:fldChar w:fldCharType="separate"/>
            </w:r>
            <w:r>
              <w:rPr>
                <w:noProof/>
                <w:webHidden/>
              </w:rPr>
              <w:t>4</w:t>
            </w:r>
            <w:r>
              <w:rPr>
                <w:noProof/>
                <w:webHidden/>
              </w:rPr>
              <w:fldChar w:fldCharType="end"/>
            </w:r>
          </w:hyperlink>
        </w:p>
        <w:p w14:paraId="2965055F" w14:textId="77777777" w:rsidR="0070693F" w:rsidRDefault="0070693F">
          <w:pPr>
            <w:pStyle w:val="TOC2"/>
            <w:tabs>
              <w:tab w:val="right" w:leader="dot" w:pos="9350"/>
            </w:tabs>
            <w:rPr>
              <w:noProof/>
            </w:rPr>
          </w:pPr>
          <w:hyperlink w:anchor="_Toc235282779" w:history="1">
            <w:r w:rsidRPr="0010430F">
              <w:rPr>
                <w:rStyle w:val="Hyperlink"/>
                <w:noProof/>
              </w:rPr>
              <w:t>3. Insurance — no doctrinal shift; one fresh Canadian citation, otherwise settled ground</w:t>
            </w:r>
            <w:r>
              <w:rPr>
                <w:noProof/>
                <w:webHidden/>
              </w:rPr>
              <w:tab/>
            </w:r>
            <w:r>
              <w:rPr>
                <w:noProof/>
                <w:webHidden/>
              </w:rPr>
              <w:fldChar w:fldCharType="begin"/>
            </w:r>
            <w:r>
              <w:rPr>
                <w:noProof/>
                <w:webHidden/>
              </w:rPr>
              <w:instrText xml:space="preserve"> PAGEREF _Toc235282779 \h </w:instrText>
            </w:r>
            <w:r>
              <w:rPr>
                <w:noProof/>
                <w:webHidden/>
              </w:rPr>
            </w:r>
            <w:r>
              <w:rPr>
                <w:noProof/>
                <w:webHidden/>
              </w:rPr>
              <w:fldChar w:fldCharType="separate"/>
            </w:r>
            <w:r>
              <w:rPr>
                <w:noProof/>
                <w:webHidden/>
              </w:rPr>
              <w:t>6</w:t>
            </w:r>
            <w:r>
              <w:rPr>
                <w:noProof/>
                <w:webHidden/>
              </w:rPr>
              <w:fldChar w:fldCharType="end"/>
            </w:r>
          </w:hyperlink>
        </w:p>
        <w:p w14:paraId="238BD299" w14:textId="77777777" w:rsidR="0070693F" w:rsidRDefault="0070693F">
          <w:pPr>
            <w:pStyle w:val="TOC2"/>
            <w:tabs>
              <w:tab w:val="right" w:leader="dot" w:pos="9350"/>
            </w:tabs>
            <w:rPr>
              <w:noProof/>
            </w:rPr>
          </w:pPr>
          <w:hyperlink w:anchor="_Toc235282780" w:history="1">
            <w:r w:rsidRPr="0010430F">
              <w:rPr>
                <w:rStyle w:val="Hyperlink"/>
                <w:noProof/>
              </w:rPr>
              <w:t>4. Legal / disputes — no new cases; one existing case has escalated to appeal</w:t>
            </w:r>
            <w:r>
              <w:rPr>
                <w:noProof/>
                <w:webHidden/>
              </w:rPr>
              <w:tab/>
            </w:r>
            <w:r>
              <w:rPr>
                <w:noProof/>
                <w:webHidden/>
              </w:rPr>
              <w:fldChar w:fldCharType="begin"/>
            </w:r>
            <w:r>
              <w:rPr>
                <w:noProof/>
                <w:webHidden/>
              </w:rPr>
              <w:instrText xml:space="preserve"> PAGEREF _Toc235282780 \h </w:instrText>
            </w:r>
            <w:r>
              <w:rPr>
                <w:noProof/>
                <w:webHidden/>
              </w:rPr>
            </w:r>
            <w:r>
              <w:rPr>
                <w:noProof/>
                <w:webHidden/>
              </w:rPr>
              <w:fldChar w:fldCharType="separate"/>
            </w:r>
            <w:r>
              <w:rPr>
                <w:noProof/>
                <w:webHidden/>
              </w:rPr>
              <w:t>7</w:t>
            </w:r>
            <w:r>
              <w:rPr>
                <w:noProof/>
                <w:webHidden/>
              </w:rPr>
              <w:fldChar w:fldCharType="end"/>
            </w:r>
          </w:hyperlink>
        </w:p>
        <w:p w14:paraId="461AFD31" w14:textId="77777777" w:rsidR="0070693F" w:rsidRDefault="0070693F">
          <w:pPr>
            <w:pStyle w:val="TOC2"/>
            <w:tabs>
              <w:tab w:val="right" w:leader="dot" w:pos="9350"/>
            </w:tabs>
            <w:rPr>
              <w:noProof/>
            </w:rPr>
          </w:pPr>
          <w:hyperlink w:anchor="_Toc235282781" w:history="1">
            <w:r w:rsidRPr="0010430F">
              <w:rPr>
                <w:rStyle w:val="Hyperlink"/>
                <w:noProof/>
              </w:rPr>
              <w:t>5. Canadian professional-body guidance — EGBC and APEGA both still at zero; ACEC likewise</w:t>
            </w:r>
            <w:r>
              <w:rPr>
                <w:noProof/>
                <w:webHidden/>
              </w:rPr>
              <w:tab/>
            </w:r>
            <w:r>
              <w:rPr>
                <w:noProof/>
                <w:webHidden/>
              </w:rPr>
              <w:fldChar w:fldCharType="begin"/>
            </w:r>
            <w:r>
              <w:rPr>
                <w:noProof/>
                <w:webHidden/>
              </w:rPr>
              <w:instrText xml:space="preserve"> PAGEREF _Toc235282781 \h </w:instrText>
            </w:r>
            <w:r>
              <w:rPr>
                <w:noProof/>
                <w:webHidden/>
              </w:rPr>
            </w:r>
            <w:r>
              <w:rPr>
                <w:noProof/>
                <w:webHidden/>
              </w:rPr>
              <w:fldChar w:fldCharType="separate"/>
            </w:r>
            <w:r>
              <w:rPr>
                <w:noProof/>
                <w:webHidden/>
              </w:rPr>
              <w:t>8</w:t>
            </w:r>
            <w:r>
              <w:rPr>
                <w:noProof/>
                <w:webHidden/>
              </w:rPr>
              <w:fldChar w:fldCharType="end"/>
            </w:r>
          </w:hyperlink>
        </w:p>
        <w:p w14:paraId="147010D4" w14:textId="77777777" w:rsidR="0070693F" w:rsidRDefault="0070693F">
          <w:pPr>
            <w:pStyle w:val="TOC2"/>
            <w:tabs>
              <w:tab w:val="right" w:leader="dot" w:pos="9350"/>
            </w:tabs>
            <w:rPr>
              <w:noProof/>
            </w:rPr>
          </w:pPr>
          <w:hyperlink w:anchor="_Toc235282782" w:history="1">
            <w:r w:rsidRPr="0010430F">
              <w:rPr>
                <w:rStyle w:val="Hyperlink"/>
                <w:noProof/>
              </w:rPr>
              <w:t>Still could not verify</w:t>
            </w:r>
            <w:r>
              <w:rPr>
                <w:noProof/>
                <w:webHidden/>
              </w:rPr>
              <w:tab/>
            </w:r>
            <w:r>
              <w:rPr>
                <w:noProof/>
                <w:webHidden/>
              </w:rPr>
              <w:fldChar w:fldCharType="begin"/>
            </w:r>
            <w:r>
              <w:rPr>
                <w:noProof/>
                <w:webHidden/>
              </w:rPr>
              <w:instrText xml:space="preserve"> PAGEREF _Toc235282782 \h </w:instrText>
            </w:r>
            <w:r>
              <w:rPr>
                <w:noProof/>
                <w:webHidden/>
              </w:rPr>
            </w:r>
            <w:r>
              <w:rPr>
                <w:noProof/>
                <w:webHidden/>
              </w:rPr>
              <w:fldChar w:fldCharType="separate"/>
            </w:r>
            <w:r>
              <w:rPr>
                <w:noProof/>
                <w:webHidden/>
              </w:rPr>
              <w:t>10</w:t>
            </w:r>
            <w:r>
              <w:rPr>
                <w:noProof/>
                <w:webHidden/>
              </w:rPr>
              <w:fldChar w:fldCharType="end"/>
            </w:r>
          </w:hyperlink>
        </w:p>
        <w:p w14:paraId="2A424831" w14:textId="77777777" w:rsidR="0070693F" w:rsidRDefault="0070693F">
          <w:pPr>
            <w:pStyle w:val="TOC2"/>
            <w:tabs>
              <w:tab w:val="right" w:leader="dot" w:pos="9350"/>
            </w:tabs>
            <w:rPr>
              <w:noProof/>
            </w:rPr>
          </w:pPr>
          <w:hyperlink w:anchor="_Toc235282783" w:history="1">
            <w:r w:rsidRPr="0010430F">
              <w:rPr>
                <w:rStyle w:val="Hyperlink"/>
                <w:noProof/>
              </w:rPr>
              <w:t>People &amp; orgs found (for CRM logging)</w:t>
            </w:r>
            <w:r>
              <w:rPr>
                <w:noProof/>
                <w:webHidden/>
              </w:rPr>
              <w:tab/>
            </w:r>
            <w:r>
              <w:rPr>
                <w:noProof/>
                <w:webHidden/>
              </w:rPr>
              <w:fldChar w:fldCharType="begin"/>
            </w:r>
            <w:r>
              <w:rPr>
                <w:noProof/>
                <w:webHidden/>
              </w:rPr>
              <w:instrText xml:space="preserve"> PAGEREF _Toc235282783 \h </w:instrText>
            </w:r>
            <w:r>
              <w:rPr>
                <w:noProof/>
                <w:webHidden/>
              </w:rPr>
            </w:r>
            <w:r>
              <w:rPr>
                <w:noProof/>
                <w:webHidden/>
              </w:rPr>
              <w:fldChar w:fldCharType="separate"/>
            </w:r>
            <w:r>
              <w:rPr>
                <w:noProof/>
                <w:webHidden/>
              </w:rPr>
              <w:t>10</w:t>
            </w:r>
            <w:r>
              <w:rPr>
                <w:noProof/>
                <w:webHidden/>
              </w:rPr>
              <w:fldChar w:fldCharType="end"/>
            </w:r>
          </w:hyperlink>
        </w:p>
        <w:p w14:paraId="4BD85BF6" w14:textId="77777777" w:rsidR="0070693F" w:rsidRDefault="0070693F">
          <w:pPr>
            <w:pStyle w:val="TOC2"/>
            <w:tabs>
              <w:tab w:val="right" w:leader="dot" w:pos="9350"/>
            </w:tabs>
            <w:rPr>
              <w:noProof/>
            </w:rPr>
          </w:pPr>
          <w:hyperlink w:anchor="_Toc235282784" w:history="1">
            <w:r w:rsidRPr="0010430F">
              <w:rPr>
                <w:rStyle w:val="Hyperlink"/>
                <w:noProof/>
              </w:rPr>
              <w:t>Appendix — source list (this addendum)</w:t>
            </w:r>
            <w:r>
              <w:rPr>
                <w:noProof/>
                <w:webHidden/>
              </w:rPr>
              <w:tab/>
            </w:r>
            <w:r>
              <w:rPr>
                <w:noProof/>
                <w:webHidden/>
              </w:rPr>
              <w:fldChar w:fldCharType="begin"/>
            </w:r>
            <w:r>
              <w:rPr>
                <w:noProof/>
                <w:webHidden/>
              </w:rPr>
              <w:instrText xml:space="preserve"> PAGEREF _Toc235282784 \h </w:instrText>
            </w:r>
            <w:r>
              <w:rPr>
                <w:noProof/>
                <w:webHidden/>
              </w:rPr>
            </w:r>
            <w:r>
              <w:rPr>
                <w:noProof/>
                <w:webHidden/>
              </w:rPr>
              <w:fldChar w:fldCharType="separate"/>
            </w:r>
            <w:r>
              <w:rPr>
                <w:noProof/>
                <w:webHidden/>
              </w:rPr>
              <w:t>11</w:t>
            </w:r>
            <w:r>
              <w:rPr>
                <w:noProof/>
                <w:webHidden/>
              </w:rPr>
              <w:fldChar w:fldCharType="end"/>
            </w:r>
          </w:hyperlink>
        </w:p>
        <w:p w14:paraId="464CD63E" w14:textId="77777777" w:rsidR="006B1F93" w:rsidRDefault="00BF4498">
          <w:r>
            <w:fldChar w:fldCharType="end"/>
          </w:r>
        </w:p>
      </w:sdtContent>
    </w:sdt>
    <w:p w14:paraId="0CC3D541" w14:textId="77777777" w:rsidR="006B1F93" w:rsidRDefault="00BF4498" w:rsidP="0070693F">
      <w:pPr>
        <w:pStyle w:val="Heading1"/>
        <w:pBdr>
          <w:bottom w:val="single" w:sz="18" w:space="1" w:color="1F3B5F"/>
        </w:pBdr>
        <w:spacing w:after="200"/>
      </w:pPr>
      <w:bookmarkStart w:id="0" w:name="X68df55887ede8c8af78fca60337b72e4ffa9767"/>
      <w:bookmarkStart w:id="1" w:name="_Toc235282776"/>
      <w:r>
        <w:t>IPD Contract Mechanics, Economics, Insurance &amp; Legal Risk — 2026-07-18 Addendum</w:t>
      </w:r>
      <w:bookmarkEnd w:id="1"/>
    </w:p>
    <w:p w14:paraId="4FD8D217" w14:textId="77777777" w:rsidR="006B1F93" w:rsidRPr="0070693F" w:rsidRDefault="00BF4498">
      <w:pPr>
        <w:pStyle w:val="FirstParagraph"/>
        <w:rPr>
          <w:rFonts w:ascii="Segoe UI" w:hAnsi="Segoe UI"/>
          <w:color w:val="596674"/>
          <w:sz w:val="17"/>
        </w:rPr>
      </w:pPr>
      <w:r w:rsidRPr="0070693F">
        <w:rPr>
          <w:rFonts w:ascii="Segoe UI" w:hAnsi="Segoe UI"/>
          <w:bCs/>
          <w:color w:val="596674"/>
          <w:sz w:val="17"/>
        </w:rPr>
        <w:t>KOR Structural · Refresh of the 2026-07-03 IPD Alberta/BC dossier · Prepared 2026-07-18</w:t>
      </w:r>
    </w:p>
    <w:p w14:paraId="4C008E07" w14:textId="77777777" w:rsidR="006B1F93" w:rsidRDefault="00BF4498">
      <w:pPr>
        <w:pStyle w:val="BodyText"/>
      </w:pPr>
      <w:r>
        <w:rPr>
          <w:b/>
          <w:bCs/>
        </w:rPr>
        <w:t>How to read this:</w:t>
      </w:r>
      <w:r>
        <w:t xml:space="preserve"> claims are </w:t>
      </w:r>
      <w:r>
        <w:rPr>
          <w:b/>
          <w:bCs/>
        </w:rPr>
        <w:t>[V]</w:t>
      </w:r>
      <w:r>
        <w:t xml:space="preserve"> (verified against a primary or independently-corroborated authoritative source), </w:t>
      </w:r>
      <w:r>
        <w:rPr>
          <w:b/>
          <w:bCs/>
        </w:rPr>
        <w:t>[I]</w:t>
      </w:r>
      <w:r>
        <w:t xml:space="preserve"> (inferred, or found in only one secondary source), or </w:t>
      </w:r>
      <w:r>
        <w:rPr>
          <w:b/>
          <w:bCs/>
        </w:rPr>
        <w:t>UNVERIFIED</w:t>
      </w:r>
      <w:r>
        <w:t xml:space="preserve"> (a lead, not yet confirmed). This addendum does not replace </w:t>
      </w:r>
      <w:r>
        <w:rPr>
          <w:rStyle w:val="VerbatimChar"/>
        </w:rPr>
        <w:t>KOR-IPD-Alberta-BC-2026-07-03</w:t>
      </w:r>
      <w:r>
        <w:t xml:space="preserve"> </w:t>
      </w:r>
      <w:r>
        <w:t>— that dossier is frozen; this is new material layered on top, written for the same reader: a KOR principal deciding whether/how to sign an IPD contract. Five research streams ran independently against the base dossier’s five open questions; findings below are cross-checked against each other where they overlap.</w:t>
      </w:r>
    </w:p>
    <w:p w14:paraId="4C557BEF" w14:textId="77777777" w:rsidR="006B1F93" w:rsidRDefault="00BF4498">
      <w:r>
        <w:pict w14:anchorId="65E22352">
          <v:rect id="_x0000_i1025" style="width:0;height:1.5pt" o:hralign="center" o:hrstd="t" o:hr="t"/>
        </w:pict>
      </w:r>
    </w:p>
    <w:p w14:paraId="06804E0E" w14:textId="77777777" w:rsidR="006B1F93" w:rsidRDefault="00BF4498" w:rsidP="0070693F">
      <w:pPr>
        <w:pStyle w:val="Heading2"/>
        <w:pageBreakBefore/>
      </w:pPr>
      <w:bookmarkStart w:id="2" w:name="X844f40b63912ddca7c4a1ab79dd6cbb5dd33ba5"/>
      <w:bookmarkStart w:id="3" w:name="_Toc235282777"/>
      <w:r>
        <w:t>1. CCDC 30-2025 — what actually changed versus CCDC 30-2018</w:t>
      </w:r>
      <w:bookmarkEnd w:id="3"/>
    </w:p>
    <w:p w14:paraId="033F147B" w14:textId="77777777" w:rsidR="006B1F93" w:rsidRDefault="00BF4498">
      <w:pPr>
        <w:pStyle w:val="FirstParagraph"/>
      </w:pPr>
      <w:r>
        <w:rPr>
          <w:b/>
          <w:bCs/>
        </w:rPr>
        <w:t>CCDC 30-2025 is real and confirmed released 2025-06-30</w:t>
      </w:r>
      <w:r>
        <w:t xml:space="preserve">, superseding the 2018 edition, alongside updates to CCDC 5A, 5B and 17 (the construction-management family) and a new companion guide </w:t>
      </w:r>
      <w:r>
        <w:rPr>
          <w:b/>
          <w:bCs/>
        </w:rPr>
        <w:t>CCDC 30-G–2025</w:t>
      </w:r>
      <w:r>
        <w:t>. [V] — ccdc.org product page; corroborated independently by BLG (2025-07-29), Miller Thomson (2025-09-10), Gowling WLG (2025-07-31), Clark Wilson (2025-11-17), and Pallett Valo (2026-01-30). The base dossier (§2, §8 action 2) already knew a 2025 revision existed and was in use (Penticton’s 2026 fire hall) but did not detail its content — that gap is closed below. Full contract text remains paywalled ($15–$140 depending on outlet/format: ccdc.org, OCA, RAIC, VRCA, OGCA, NLCA); everything below rests on 2+ c</w:t>
      </w:r>
      <w:r>
        <w:t>orroborating law-firm bulletins per claim, same evidentiary standard as the base dossier.</w:t>
      </w:r>
    </w:p>
    <w:p w14:paraId="2601584D" w14:textId="77777777" w:rsidR="006B1F93" w:rsidRDefault="00BF4498">
      <w:pPr>
        <w:pStyle w:val="BodyText"/>
      </w:pPr>
      <w:r>
        <w:rPr>
          <w:b/>
          <w:bCs/>
        </w:rPr>
        <w:t>Structure.</w:t>
      </w:r>
      <w:r>
        <w:t xml:space="preserve"> The contract is reorganized around project lifecycle: </w:t>
      </w:r>
      <w:r>
        <w:rPr>
          <w:b/>
          <w:bCs/>
        </w:rPr>
        <w:t>Validation Phase</w:t>
      </w:r>
      <w:r>
        <w:t xml:space="preserve"> (now formally defined as occurring after contract execution) → </w:t>
      </w:r>
      <w:r>
        <w:rPr>
          <w:b/>
          <w:bCs/>
        </w:rPr>
        <w:t>Project Execution Phase</w:t>
      </w:r>
      <w:r>
        <w:t xml:space="preserve"> (design, procurement, construction, warranty) → General Articles/Conditions. A new </w:t>
      </w:r>
      <w:r>
        <w:rPr>
          <w:b/>
          <w:bCs/>
        </w:rPr>
        <w:t>“Ready-for-Takeover”</w:t>
      </w:r>
      <w:r>
        <w:t xml:space="preserve"> milestone (imported from CCDC 2–2020) replaces the fuzzier “substantial performance” as the marker into the Warranty Phase. [V] — Gowling WLG, Clark Wilson, Miller Thomson, Pallett Valo all corroborate.</w:t>
      </w:r>
    </w:p>
    <w:p w14:paraId="1CA53C7F" w14:textId="77777777" w:rsidR="006B1F93" w:rsidRDefault="00BF4498">
      <w:pPr>
        <w:pStyle w:val="BodyText"/>
      </w:pPr>
      <w:r>
        <w:rPr>
          <w:b/>
          <w:bCs/>
        </w:rPr>
        <w:t>Money mechanics — directly relevant to a consultant’s fee-at-risk position:</w:t>
      </w:r>
    </w:p>
    <w:p w14:paraId="0A0E994D" w14:textId="77777777" w:rsidR="006B1F93" w:rsidRDefault="00BF4498">
      <w:pPr>
        <w:pStyle w:val="Compact"/>
        <w:numPr>
          <w:ilvl w:val="0"/>
          <w:numId w:val="2"/>
        </w:numPr>
      </w:pPr>
      <w:r>
        <w:rPr>
          <w:b/>
          <w:bCs/>
        </w:rPr>
        <w:t>“Risk Pool” is formally renamed “Profit Pool.”</w:t>
      </w:r>
      <w:r>
        <w:t xml:space="preserve"> CCDC’s own stated rationale: the new term “more accurately reflects the intent and nature of the funds.” This is a naming change, not (on the evidence found) a mechanical change to how the pool grows/shrinks. [V] — Gowling WLG (direct quote), corroborated by Clark Wilson and Pallett Valo.</w:t>
      </w:r>
    </w:p>
    <w:p w14:paraId="6D1BC52F" w14:textId="77777777" w:rsidR="006B1F93" w:rsidRDefault="00BF4498">
      <w:pPr>
        <w:pStyle w:val="Compact"/>
        <w:numPr>
          <w:ilvl w:val="0"/>
          <w:numId w:val="2"/>
        </w:numPr>
      </w:pPr>
      <w:r>
        <w:rPr>
          <w:b/>
          <w:bCs/>
        </w:rPr>
        <w:t>Added Value Incentive Items (AVIIs)</w:t>
      </w:r>
      <w:r>
        <w:t xml:space="preserve"> </w:t>
      </w:r>
      <w:r>
        <w:t xml:space="preserve">— owner-selected upgrade/scope items funded from savings — can now be added </w:t>
      </w:r>
      <w:r>
        <w:rPr>
          <w:b/>
          <w:bCs/>
        </w:rPr>
        <w:t>during the Construction Phase</w:t>
      </w:r>
      <w:r>
        <w:t>, not only the Design Phase as in 2018. For a structural consultant this means scope-creep-via-incentive can now arrive later in the job, after your design effort is largely sunk. [V] — Miller Thomson, corroborated by Pallett Valo.</w:t>
      </w:r>
    </w:p>
    <w:p w14:paraId="5D688E57" w14:textId="77777777" w:rsidR="006B1F93" w:rsidRDefault="00BF4498">
      <w:pPr>
        <w:pStyle w:val="Compact"/>
        <w:numPr>
          <w:ilvl w:val="0"/>
          <w:numId w:val="2"/>
        </w:numPr>
      </w:pPr>
      <w:r>
        <w:t>Reimbursable-cost schedules were expanded and made more customizable, with overhead categories more clearly specified and audit procedures around reimbursables strengthened. [V] — Clark Wilson (2025-11-17); general corroboration (no line-item detail) from Gowling and Pallett Valo.</w:t>
      </w:r>
    </w:p>
    <w:p w14:paraId="0F297999" w14:textId="77777777" w:rsidR="006B1F93" w:rsidRDefault="00BF4498">
      <w:pPr>
        <w:pStyle w:val="Compact"/>
        <w:numPr>
          <w:ilvl w:val="0"/>
          <w:numId w:val="2"/>
        </w:numPr>
      </w:pPr>
      <w:r>
        <w:rPr>
          <w:b/>
          <w:bCs/>
        </w:rPr>
        <w:t>UNVERIFIED / flagged discrepancy:</w:t>
      </w:r>
      <w:r>
        <w:t xml:space="preserve"> one research stream surfaced a claim — attributed to cwilson.com/Pallett Valo/a Lexology-syndicated “2025 CCDC Contract Updates” summary — of a specific new liability cap (</w:t>
      </w:r>
      <w:r>
        <w:t xml:space="preserve">“greater of fee/contract price or $2M, capped at $20M”). A second, independent stream that read the Clark Wilson and Pallett Valo bulletins directly for CCDC 30 content specifically did </w:t>
      </w:r>
      <w:r>
        <w:rPr>
          <w:b/>
          <w:bCs/>
        </w:rPr>
        <w:t>not</w:t>
      </w:r>
      <w:r>
        <w:t xml:space="preserve"> surface this figure. It is plausible this cap applies to the broader CCDC 5A/5B/17 design-build/CM family rather than CCDC 30 itself, or that it is accurate but wasn’t captured on the direct read. </w:t>
      </w:r>
      <w:r>
        <w:rPr>
          <w:b/>
          <w:bCs/>
        </w:rPr>
        <w:t>Do not cite a specific dollar liability cap for CCDC 30-2025 without pulling the actual contract text or a bulletin excerpt naming CCDC 30 by number.</w:t>
      </w:r>
    </w:p>
    <w:p w14:paraId="452A9BD4" w14:textId="77777777" w:rsidR="006B1F93" w:rsidRDefault="00BF4498">
      <w:pPr>
        <w:pStyle w:val="FirstParagraph"/>
      </w:pPr>
      <w:r>
        <w:rPr>
          <w:b/>
          <w:bCs/>
        </w:rPr>
        <w:t>Collaboration/governance additions:</w:t>
      </w:r>
    </w:p>
    <w:p w14:paraId="0EA8E52B" w14:textId="77777777" w:rsidR="006B1F93" w:rsidRDefault="00BF4498">
      <w:pPr>
        <w:pStyle w:val="Compact"/>
        <w:numPr>
          <w:ilvl w:val="0"/>
          <w:numId w:val="3"/>
        </w:numPr>
      </w:pPr>
      <w:r>
        <w:rPr>
          <w:b/>
          <w:bCs/>
        </w:rPr>
        <w:t>“Big Room”</w:t>
      </w:r>
      <w:r>
        <w:t xml:space="preserve"> co-location practice is now formalized in the contract text (not just informal IPD practice). [V] — Miller Thomson, Pallett Valo, Clark Wilson.</w:t>
      </w:r>
    </w:p>
    <w:p w14:paraId="006C4B3D" w14:textId="77777777" w:rsidR="006B1F93" w:rsidRDefault="00BF4498">
      <w:pPr>
        <w:pStyle w:val="Compact"/>
        <w:numPr>
          <w:ilvl w:val="0"/>
          <w:numId w:val="3"/>
        </w:numPr>
      </w:pPr>
      <w:r>
        <w:t xml:space="preserve">New </w:t>
      </w:r>
      <w:r>
        <w:rPr>
          <w:b/>
          <w:bCs/>
        </w:rPr>
        <w:t>optional “IPD Advisor” role</w:t>
      </w:r>
      <w:r>
        <w:t xml:space="preserve">: an independent individual/organization “qualified to provide guidance on IPD and Lean principles,” </w:t>
      </w:r>
      <w:r>
        <w:t>jointly appointed by the Project Management Team, chiefly to coach the team through Validation. [V] — Gowling WLG (direct quote), corroborated by Miller Thomson, Pallett Valo, Clark Wilson.</w:t>
      </w:r>
    </w:p>
    <w:p w14:paraId="558F0181" w14:textId="77777777" w:rsidR="006B1F93" w:rsidRDefault="00BF4498">
      <w:pPr>
        <w:pStyle w:val="Compact"/>
        <w:numPr>
          <w:ilvl w:val="0"/>
          <w:numId w:val="3"/>
        </w:numPr>
      </w:pPr>
      <w:r>
        <w:t>Lean construction principles are now explicitly referenced in the contract text. [V] — Clark Wilson.</w:t>
      </w:r>
    </w:p>
    <w:p w14:paraId="6A39A15B" w14:textId="77777777" w:rsidR="006B1F93" w:rsidRDefault="00BF4498">
      <w:pPr>
        <w:pStyle w:val="FirstParagraph"/>
      </w:pPr>
      <w:r>
        <w:rPr>
          <w:b/>
          <w:bCs/>
        </w:rPr>
        <w:t>Liability waiver — the clause that matters most to a signing consultant:</w:t>
      </w:r>
    </w:p>
    <w:p w14:paraId="3FF01027" w14:textId="77777777" w:rsidR="006B1F93" w:rsidRDefault="00BF4498">
      <w:pPr>
        <w:pStyle w:val="Compact"/>
        <w:numPr>
          <w:ilvl w:val="0"/>
          <w:numId w:val="4"/>
        </w:numPr>
      </w:pPr>
      <w:r>
        <w:t xml:space="preserve">The core no-fault, mutual-waiver-of-claims structure among IPD Team members is </w:t>
      </w:r>
      <w:r>
        <w:rPr>
          <w:b/>
          <w:bCs/>
        </w:rPr>
        <w:t>preserved unchanged</w:t>
      </w:r>
      <w:r>
        <w:t xml:space="preserve"> </w:t>
      </w:r>
      <w:r>
        <w:t>in 2025 — parties still waive claims against one another. [V] — Gowling WLG direct quote.</w:t>
      </w:r>
    </w:p>
    <w:p w14:paraId="77A877D0" w14:textId="77777777" w:rsidR="006B1F93" w:rsidRDefault="00BF4498">
      <w:pPr>
        <w:pStyle w:val="Compact"/>
        <w:numPr>
          <w:ilvl w:val="0"/>
          <w:numId w:val="4"/>
        </w:numPr>
      </w:pPr>
      <w:r>
        <w:rPr>
          <w:b/>
          <w:bCs/>
        </w:rPr>
        <w:t xml:space="preserve">New: a mutual waiver of </w:t>
      </w:r>
      <w:r>
        <w:rPr>
          <w:b/>
          <w:bCs/>
          <w:i/>
          <w:iCs/>
        </w:rPr>
        <w:t>consequential damages</w:t>
      </w:r>
      <w:r>
        <w:rPr>
          <w:b/>
          <w:bCs/>
        </w:rPr>
        <w:t xml:space="preserve"> was added across the CCDC 5A/5B/17/30 family</w:t>
      </w:r>
      <w:r>
        <w:t xml:space="preserve"> — but the term “consequential damages” </w:t>
      </w:r>
      <w:r>
        <w:t>is left contractually undefined, mirroring the (also criticized) approach in CCDC 2-2020. Two independent research streams corroborate this applies to CCDC 30 specifically (BLG 2025-07-29, read directly by two separate agents). Law-firm commentary flags the undefined term as a likely future dispute driver — exactly the kind of clause worth a principal’s own read before signing. [V]</w:t>
      </w:r>
    </w:p>
    <w:p w14:paraId="150969FD" w14:textId="77777777" w:rsidR="006B1F93" w:rsidRDefault="00BF4498">
      <w:pPr>
        <w:pStyle w:val="Compact"/>
        <w:numPr>
          <w:ilvl w:val="0"/>
          <w:numId w:val="4"/>
        </w:numPr>
      </w:pPr>
      <w:r>
        <w:t xml:space="preserve">Clark Wilson’s direct caution (2025-11-17), consultant-relevant: once the Profit Pool is exhausted by an overrun, </w:t>
      </w:r>
      <w:r>
        <w:t>“the owner is still liable for the cost of the project to completion and is precluded from legal action” — i.e. the waiver still shields the consultant/contractor from owner claims over cost overruns even after profit is gone to zero. Clark Wilson explicitly says CCDC 30 (any edition) needs “careful review as to its suitability” before use. [V]</w:t>
      </w:r>
    </w:p>
    <w:p w14:paraId="2533D977" w14:textId="77777777" w:rsidR="006B1F93" w:rsidRDefault="00BF4498">
      <w:pPr>
        <w:pStyle w:val="Compact"/>
        <w:numPr>
          <w:ilvl w:val="0"/>
          <w:numId w:val="4"/>
        </w:numPr>
      </w:pPr>
      <w:r>
        <w:t xml:space="preserve">A carve-out for </w:t>
      </w:r>
      <w:r>
        <w:rPr>
          <w:b/>
          <w:bCs/>
        </w:rPr>
        <w:t>wilful misconduct, wilful default, fraud, criminal acts, and abandonment</w:t>
      </w:r>
      <w:r>
        <w:t xml:space="preserve"> </w:t>
      </w:r>
      <w:r>
        <w:t xml:space="preserve">from the liability limitation is confirmed as a 2025 feature of the CCDC suite generally, but the sources fetched directly named it only in the context of </w:t>
      </w:r>
      <w:r>
        <w:rPr>
          <w:b/>
          <w:bCs/>
        </w:rPr>
        <w:t>CCDC 5A/5B/17</w:t>
      </w:r>
      <w:r>
        <w:t xml:space="preserve"> (Beale &amp; Co, Mondaq/Pallett Valo). No fetched source’s exact text ties this carve-out to CCDC 30 by name. </w:t>
      </w:r>
      <w:r>
        <w:rPr>
          <w:b/>
          <w:bCs/>
        </w:rPr>
        <w:t>Flag as UNVERIFIED specifically for CCDC 30</w:t>
      </w:r>
      <w:r>
        <w:t xml:space="preserve"> — recommend confirming against the actual CCDC 30-2025 text (base dossier action 2: buy CCDC 30, ~$100) before repeating this as fact in front of a client or counterparty.</w:t>
      </w:r>
    </w:p>
    <w:p w14:paraId="512A79CE" w14:textId="77777777" w:rsidR="006B1F93" w:rsidRDefault="00BF4498">
      <w:pPr>
        <w:pStyle w:val="Compact"/>
        <w:numPr>
          <w:ilvl w:val="0"/>
          <w:numId w:val="4"/>
        </w:numPr>
      </w:pPr>
      <w:r>
        <w:t xml:space="preserve">No bullet found describing any change to </w:t>
      </w:r>
      <w:r>
        <w:rPr>
          <w:b/>
          <w:bCs/>
        </w:rPr>
        <w:t>who</w:t>
      </w:r>
      <w:r>
        <w:t xml:space="preserve"> is covered by the waiver (e.g., extension to sub-consultants/trades) — no evidence of change either way.</w:t>
      </w:r>
    </w:p>
    <w:p w14:paraId="658FA9ED" w14:textId="77777777" w:rsidR="006B1F93" w:rsidRDefault="00BF4498">
      <w:pPr>
        <w:pStyle w:val="FirstParagraph"/>
      </w:pPr>
      <w:r>
        <w:rPr>
          <w:b/>
          <w:bCs/>
        </w:rPr>
        <w:t>Joining-agreement mechanics for consultants.</w:t>
      </w:r>
      <w:r>
        <w:t xml:space="preserve"> </w:t>
      </w:r>
      <w:r>
        <w:t xml:space="preserve">No bulletin found describes a change to how a consultant executes onto the multi-party agreement (a standalone joining-agreement schedule, etc.). CCDC 30 remains a single multi-party contract signed from inception by owner/consultant/contractor (and key trades where applicable); smaller consultants can still flow through under a prime party. This appears </w:t>
      </w:r>
      <w:r>
        <w:rPr>
          <w:b/>
          <w:bCs/>
        </w:rPr>
        <w:t>unchanged from 2018</w:t>
      </w:r>
      <w:r>
        <w:t xml:space="preserve"> on the evidence available.</w:t>
      </w:r>
    </w:p>
    <w:p w14:paraId="5376DDFC" w14:textId="77777777" w:rsidR="006B1F93" w:rsidRDefault="00BF4498">
      <w:pPr>
        <w:pStyle w:val="BodyText"/>
      </w:pPr>
      <w:r>
        <w:rPr>
          <w:b/>
          <w:bCs/>
        </w:rPr>
        <w:t>Validation Phase.</w:t>
      </w:r>
      <w:r>
        <w:t xml:space="preserve"> </w:t>
      </w:r>
      <w:r>
        <w:t xml:space="preserve">Now formally a distinct, defined phase occurring after contract execution, producing a Validation Report that sets Base Target Cost, Milestone Schedule and risk/contingency profile — after which the owner may proceed, adjust scope, or withdraw. Pallett Valo adds that termination/compensation procedures for a </w:t>
      </w:r>
      <w:r>
        <w:rPr>
          <w:i/>
          <w:iCs/>
        </w:rPr>
        <w:t>rejected</w:t>
      </w:r>
      <w:r>
        <w:t xml:space="preserve"> Validation Report were clarified and enhanced in 2025. [V] — Gowling WLG, Clark Wilson, Pallett Valo all corroborate the framing.</w:t>
      </w:r>
    </w:p>
    <w:p w14:paraId="122EF42D" w14:textId="77777777" w:rsidR="006B1F93" w:rsidRDefault="00BF4498">
      <w:pPr>
        <w:pStyle w:val="BodyText"/>
      </w:pPr>
      <w:r>
        <w:rPr>
          <w:b/>
          <w:bCs/>
        </w:rPr>
        <w:t>Insurance requirements.</w:t>
      </w:r>
      <w:r>
        <w:t xml:space="preserve"> </w:t>
      </w:r>
      <w:r>
        <w:t xml:space="preserve">No bulletin found gives CCDC 30-2025-specific insurance-clause changes; ccdc.org’s own product description lists “insurance and contract security” as a covered topic but gives no detail behind the paywall. Treat as </w:t>
      </w:r>
      <w:r>
        <w:rPr>
          <w:b/>
          <w:bCs/>
        </w:rPr>
        <w:t>unchanged pending direct document read</w:t>
      </w:r>
      <w:r>
        <w:t xml:space="preserve"> — see §3 below for the separate (broker-side, not contract-text-side) insurance picture.</w:t>
      </w:r>
    </w:p>
    <w:p w14:paraId="2E5A1DD8" w14:textId="77777777" w:rsidR="006B1F93" w:rsidRDefault="00BF4498">
      <w:pPr>
        <w:pStyle w:val="BodyText"/>
      </w:pPr>
      <w:r>
        <w:rPr>
          <w:b/>
          <w:bCs/>
        </w:rPr>
        <w:t>Termination/payment alignment.</w:t>
      </w:r>
      <w:r>
        <w:t xml:space="preserve"> </w:t>
      </w:r>
      <w:r>
        <w:t xml:space="preserve">A new cure-period/default-curing clause was added to termination provisions, and the contract was updated to align with provincial prompt-payment/adjudication legislation — explicitly noted by Clark Wilson as </w:t>
      </w:r>
      <w:r>
        <w:rPr>
          <w:b/>
          <w:bCs/>
        </w:rPr>
        <w:t>excluding BC</w:t>
      </w:r>
      <w:r>
        <w:t>, which still has no prompt-payment regime. [V] — BLG, Clark Wilson.</w:t>
      </w:r>
    </w:p>
    <w:p w14:paraId="5237A37C" w14:textId="77777777" w:rsidR="006B1F93" w:rsidRDefault="00BF4498">
      <w:pPr>
        <w:pStyle w:val="BodyText"/>
      </w:pPr>
      <w:r>
        <w:rPr>
          <w:b/>
          <w:bCs/>
        </w:rPr>
        <w:t>Bottom line for §8 action 2 of the base dossier:</w:t>
      </w:r>
      <w:r>
        <w:t xml:space="preserve"> buying and reading the actual CCDC 30-2025 text remains the right move before any signature — this addendum resolves most of the “what changed” </w:t>
      </w:r>
      <w:r>
        <w:t>question from secondary sources, but two items (the specific liability-cap figure, and whether the wilful-misconduct carve-out text names CCDC 30) need the primary document to close out.</w:t>
      </w:r>
    </w:p>
    <w:p w14:paraId="3B87B8D8" w14:textId="77777777" w:rsidR="006B1F93" w:rsidRDefault="00BF4498">
      <w:r>
        <w:pict w14:anchorId="2F71EFE9">
          <v:rect id="_x0000_i1026" style="width:0;height:1.5pt" o:hralign="center" o:hrstd="t" o:hr="t"/>
        </w:pict>
      </w:r>
    </w:p>
    <w:p w14:paraId="60CB066A" w14:textId="77777777" w:rsidR="006B1F93" w:rsidRDefault="00BF4498" w:rsidP="0070693F">
      <w:pPr>
        <w:pStyle w:val="Heading2"/>
        <w:pageBreakBefore/>
      </w:pPr>
      <w:bookmarkStart w:id="4" w:name="X6301c22a01658e144d7d0f64cdd9ce57e1fe227"/>
      <w:bookmarkStart w:id="5" w:name="_Toc235282778"/>
      <w:bookmarkEnd w:id="2"/>
      <w:r>
        <w:t>2. Structural-engineer-specific IPD economics — still does not exist, and now confirmed against the best possible source</w:t>
      </w:r>
      <w:bookmarkEnd w:id="5"/>
    </w:p>
    <w:p w14:paraId="67C20971" w14:textId="77777777" w:rsidR="006B1F93" w:rsidRDefault="00BF4498">
      <w:pPr>
        <w:pStyle w:val="FirstParagraph"/>
      </w:pPr>
      <w:r>
        <w:rPr>
          <w:b/>
          <w:bCs/>
        </w:rPr>
        <w:t>No public source isolates a Canadian structural or engineering consultant’s own financial outcome (profit-pool share won or lost, fee-at-risk realized) on an IPD project.</w:t>
      </w:r>
      <w:r>
        <w:t xml:space="preserve"> </w:t>
      </w:r>
      <w:r>
        <w:t>This confirms and hardens the base dossier’s §7 finding (“no published data isolates a structural engineer’s profit outcome”) rather than changing it — but it is now confirmed against the single best dataset that could plausibly contain it, which the base dossier had not located.</w:t>
      </w:r>
    </w:p>
    <w:p w14:paraId="19F11456" w14:textId="77777777" w:rsidR="006B1F93" w:rsidRDefault="00BF4498">
      <w:pPr>
        <w:pStyle w:val="BodyText"/>
      </w:pPr>
      <w:r>
        <w:rPr>
          <w:b/>
          <w:bCs/>
        </w:rPr>
        <w:t>The core source:</w:t>
      </w:r>
      <w:r>
        <w:t xml:space="preserve"> </w:t>
      </w:r>
      <w:r>
        <w:rPr>
          <w:i/>
          <w:iCs/>
        </w:rPr>
        <w:t>Investigating Factors Leading to IPD Project Success in Canada</w:t>
      </w:r>
      <w:r>
        <w:t xml:space="preserve"> </w:t>
      </w:r>
      <w:r>
        <w:t xml:space="preserve">(Erik A. Poirier &amp; Ahmad Arar, ÉTS/GRIDD; Sheryl Staub-French, Puyan Zadeh &amp; Devarsh Bhonde, UBC BIM TOPiCS Lab; commissioned by the Integrated Project Delivery Alliance, published 2022-05). [V] — full PDF read directly: </w:t>
      </w:r>
      <w:r>
        <w:rPr>
          <w:rStyle w:val="VerbatimChar"/>
        </w:rPr>
        <w:t>ipda.ca/site/assets/files/4374/ipda_canadian_ipd_case_studies_final_28.pdf</w:t>
      </w:r>
      <w:r>
        <w:t>.</w:t>
      </w:r>
    </w:p>
    <w:p w14:paraId="50A5EA61" w14:textId="77777777" w:rsidR="006B1F93" w:rsidRDefault="00BF4498">
      <w:pPr>
        <w:pStyle w:val="Compact"/>
        <w:numPr>
          <w:ilvl w:val="0"/>
          <w:numId w:val="5"/>
        </w:numPr>
      </w:pPr>
      <w:r>
        <w:t xml:space="preserve">Methodology replicates the 2016 US “Motivation and Means” study (Cheng &amp; Johnson, University of Minnesota/LCI/IPDA); interviews with virtually every signatory — </w:t>
      </w:r>
      <w:r>
        <w:rPr>
          <w:b/>
          <w:bCs/>
        </w:rPr>
        <w:t>including the structural engineer, named, on all three projects</w:t>
      </w:r>
      <w:r>
        <w:t xml:space="preserve"> — plus document review and survey.</w:t>
      </w:r>
    </w:p>
    <w:p w14:paraId="081D5B7D" w14:textId="77777777" w:rsidR="006B1F93" w:rsidRDefault="00BF4498">
      <w:pPr>
        <w:pStyle w:val="Compact"/>
        <w:numPr>
          <w:ilvl w:val="0"/>
          <w:numId w:val="5"/>
        </w:numPr>
      </w:pPr>
      <w:r>
        <w:rPr>
          <w:b/>
          <w:bCs/>
        </w:rPr>
        <w:t>Barrie-Simcoe Emergency Services Campus</w:t>
      </w:r>
      <w:r>
        <w:t xml:space="preserve"> (Barrie, ON, $85.8M): structural engineer </w:t>
      </w:r>
      <w:r>
        <w:rPr>
          <w:b/>
          <w:bCs/>
        </w:rPr>
        <w:t>LEA Consulting Ltd.</w:t>
      </w:r>
      <w:r>
        <w:t>, interviewee John Ford.</w:t>
      </w:r>
    </w:p>
    <w:p w14:paraId="694B927D" w14:textId="77777777" w:rsidR="006B1F93" w:rsidRDefault="00BF4498">
      <w:pPr>
        <w:pStyle w:val="Compact"/>
        <w:numPr>
          <w:ilvl w:val="0"/>
          <w:numId w:val="5"/>
        </w:numPr>
      </w:pPr>
      <w:r>
        <w:rPr>
          <w:b/>
          <w:bCs/>
        </w:rPr>
        <w:t>Canada Games Aquatic Centre</w:t>
      </w:r>
      <w:r>
        <w:t xml:space="preserve"> (Kamloops, BC, $14.1M): structural engineer </w:t>
      </w:r>
      <w:r>
        <w:rPr>
          <w:b/>
          <w:bCs/>
        </w:rPr>
        <w:t>WSP Canada Inc.</w:t>
      </w:r>
      <w:r>
        <w:t>, interviewee Patrick Taylor (also IPDA Treasurer — see base dossier §5).</w:t>
      </w:r>
    </w:p>
    <w:p w14:paraId="133FBB93" w14:textId="77777777" w:rsidR="006B1F93" w:rsidRDefault="00BF4498">
      <w:pPr>
        <w:pStyle w:val="Compact"/>
        <w:numPr>
          <w:ilvl w:val="0"/>
          <w:numId w:val="5"/>
        </w:numPr>
      </w:pPr>
      <w:r>
        <w:rPr>
          <w:b/>
          <w:bCs/>
        </w:rPr>
        <w:t>Thelma Chalifoux / Soraya Hafez Schools</w:t>
      </w:r>
      <w:r>
        <w:t xml:space="preserve"> (Edmonton, AB): structural engineer </w:t>
      </w:r>
      <w:r>
        <w:rPr>
          <w:b/>
          <w:bCs/>
        </w:rPr>
        <w:t>RJC</w:t>
      </w:r>
      <w:r>
        <w:t>, interviewee Jeffrey Rabinovitch.</w:t>
      </w:r>
    </w:p>
    <w:p w14:paraId="0F0BBB0A" w14:textId="77777777" w:rsidR="006B1F93" w:rsidRDefault="00BF4498">
      <w:pPr>
        <w:pStyle w:val="Compact"/>
        <w:numPr>
          <w:ilvl w:val="0"/>
          <w:numId w:val="5"/>
        </w:numPr>
      </w:pPr>
      <w:r>
        <w:rPr>
          <w:b/>
          <w:bCs/>
        </w:rPr>
        <w:t xml:space="preserve">The </w:t>
      </w:r>
      <w:r>
        <w:rPr>
          <w:b/>
          <w:bCs/>
        </w:rPr>
        <w:t>“Profit &amp; Payout” finding, verbatim in substance</w:t>
      </w:r>
      <w:r>
        <w:t xml:space="preserve">: all three projects paid out their full Incentive Compensation Layer — every signatory received full profit. Team-level savings and owner/team split ratios are disclosed (e.g., CGAC: $1M savings, split 70/30 owner/team). </w:t>
      </w:r>
      <w:r>
        <w:rPr>
          <w:b/>
          <w:bCs/>
        </w:rPr>
        <w:t>At no point does the report break out what LEA, WSP, or RJC individually received, lost, or risked.</w:t>
      </w:r>
      <w:r>
        <w:t xml:space="preserve"> </w:t>
      </w:r>
      <w:r>
        <w:t>The only discipline-adjacent financial nuance anywhere in the document is an owner-vs-owner split on BSESC (one co-owner reported no meaningful savings, the other reported “millions”) — not a consultant-level figure. [V]</w:t>
      </w:r>
    </w:p>
    <w:p w14:paraId="501330CB" w14:textId="77777777" w:rsidR="006B1F93" w:rsidRDefault="00BF4498">
      <w:pPr>
        <w:pStyle w:val="Compact"/>
        <w:numPr>
          <w:ilvl w:val="0"/>
          <w:numId w:val="5"/>
        </w:numPr>
      </w:pPr>
      <w:r>
        <w:t xml:space="preserve">One non-financial but risk-relevant data point: on the Edmonton schools project, a team member “unexpectedly shut down their structural division” mid-project; the report says only that the team “recovered and promptly solved the issue,” </w:t>
      </w:r>
      <w:r>
        <w:t>with no dollar figures attached and the affected firm not named. [V]</w:t>
      </w:r>
    </w:p>
    <w:p w14:paraId="0B43C480" w14:textId="77777777" w:rsidR="006B1F93" w:rsidRDefault="00BF4498">
      <w:pPr>
        <w:pStyle w:val="FirstParagraph"/>
      </w:pPr>
      <w:r>
        <w:rPr>
          <w:b/>
          <w:bCs/>
        </w:rPr>
        <w:t>Why this is the finding, not a gap in the search:</w:t>
      </w:r>
      <w:r>
        <w:t xml:space="preserve"> this is a well-resourced, methodologically rigorous study that specifically interviewed the structural engineers by name on three Canadian IPD projects, and it </w:t>
      </w:r>
      <w:r>
        <w:rPr>
          <w:i/>
          <w:iCs/>
        </w:rPr>
        <w:t>still</w:t>
      </w:r>
      <w:r>
        <w:t xml:space="preserve"> </w:t>
      </w:r>
      <w:r>
        <w:t>reports only project-level ICL payout, never a discipline-level breakdown. That is a structural feature of how IPD financial reporting works — both contractually (the Profit Pool is a single team-wide fund) and in research practice — not a research-effort shortfall. [V]</w:t>
      </w:r>
    </w:p>
    <w:p w14:paraId="41D6136E" w14:textId="77777777" w:rsidR="006B1F93" w:rsidRDefault="00BF4498">
      <w:pPr>
        <w:pStyle w:val="BodyText"/>
      </w:pPr>
      <w:r>
        <w:rPr>
          <w:b/>
          <w:bCs/>
        </w:rPr>
        <w:t>Other channels checked, all negative or inconclusive:</w:t>
      </w:r>
    </w:p>
    <w:p w14:paraId="4CB42DE4" w14:textId="77777777" w:rsidR="006B1F93" w:rsidRDefault="00BF4498">
      <w:pPr>
        <w:pStyle w:val="Compact"/>
        <w:numPr>
          <w:ilvl w:val="0"/>
          <w:numId w:val="6"/>
        </w:numPr>
      </w:pPr>
      <w:r>
        <w:t xml:space="preserve">leanipd.com’s Canadian case-study posts (same three projects, plus generic “how a profit pool works” </w:t>
      </w:r>
      <w:r>
        <w:t>explainers) name the structural engineer per project but disclose no firm-level financials — they summarize the same underlying IPDA report above. [V]</w:t>
      </w:r>
    </w:p>
    <w:p w14:paraId="37514FE2" w14:textId="77777777" w:rsidR="006B1F93" w:rsidRDefault="00BF4498">
      <w:pPr>
        <w:pStyle w:val="Compact"/>
        <w:numPr>
          <w:ilvl w:val="0"/>
          <w:numId w:val="6"/>
        </w:numPr>
      </w:pPr>
      <w:r>
        <w:t>The 2016 US “Motivation and Means” predecessor report (Cheng &amp; Johnson) — only secondary citations found, not the full text; every derivative source describes its “Profit &amp; Payout” findings in aggregate ICL-payout terms only. UNVERIFIED at primary-source level.</w:t>
      </w:r>
    </w:p>
    <w:p w14:paraId="45725297" w14:textId="77777777" w:rsidR="006B1F93" w:rsidRDefault="00BF4498">
      <w:pPr>
        <w:pStyle w:val="Compact"/>
        <w:numPr>
          <w:ilvl w:val="0"/>
          <w:numId w:val="6"/>
        </w:numPr>
      </w:pPr>
      <w:r>
        <w:t>A UBC thesis on IPD housing projects (UBC Library Open Collections item 1.0378439, covering priMED Mosaic Centre, St. Jerome’s University Student Residence, Brock Commons, Jacobson Hall) — access-blocked twice; likely from the same UBC BIM TOPiCS Lab as the 2022 report above (same structure probable, not confirmed). UNVERIFIED.</w:t>
      </w:r>
    </w:p>
    <w:p w14:paraId="4DD73B41" w14:textId="77777777" w:rsidR="006B1F93" w:rsidRDefault="00BF4498">
      <w:pPr>
        <w:pStyle w:val="Compact"/>
        <w:numPr>
          <w:ilvl w:val="0"/>
          <w:numId w:val="6"/>
        </w:numPr>
      </w:pPr>
      <w:r>
        <w:t>Canadian Consulting Engineer, Daily Commercial News / Journal of Commerce — no indexed article found isolating a structural consultant’s IPD profit-pool outcome. UNVERIFIED / likely does not exist in indexed form (archives not exhaustively searchable).</w:t>
      </w:r>
    </w:p>
    <w:p w14:paraId="550902A1" w14:textId="77777777" w:rsidR="006B1F93" w:rsidRDefault="00BF4498">
      <w:pPr>
        <w:pStyle w:val="Compact"/>
        <w:numPr>
          <w:ilvl w:val="0"/>
          <w:numId w:val="6"/>
        </w:numPr>
      </w:pPr>
      <w:r>
        <w:t xml:space="preserve">Fast+Epp, RJC, Entuitive, WSP — all confirmed active in Canadian IPD (consistent with base dossier §4/§6); no firm publishes its own project-level IPD P&amp;L. Entuitive’s own “profit-sharing” </w:t>
      </w:r>
      <w:r>
        <w:t>language refers to an internal firm-wide employee bonus program, not a specific IPD project payout — do not conflate the two if this surfaces again.</w:t>
      </w:r>
    </w:p>
    <w:p w14:paraId="55B6C868" w14:textId="77777777" w:rsidR="006B1F93" w:rsidRDefault="00BF4498">
      <w:r>
        <w:pict w14:anchorId="410D7F6F">
          <v:rect id="_x0000_i1027" style="width:0;height:1.5pt" o:hralign="center" o:hrstd="t" o:hr="t"/>
        </w:pict>
      </w:r>
    </w:p>
    <w:p w14:paraId="60332987" w14:textId="77777777" w:rsidR="006B1F93" w:rsidRDefault="00BF4498" w:rsidP="0070693F">
      <w:pPr>
        <w:pStyle w:val="Heading2"/>
        <w:pageBreakBefore/>
      </w:pPr>
      <w:bookmarkStart w:id="6" w:name="X826004d8ec164bb36d20f4a4ab128feab688e0c"/>
      <w:bookmarkStart w:id="7" w:name="_Toc235282779"/>
      <w:bookmarkEnd w:id="4"/>
      <w:r>
        <w:t>3. Insurance — no doctrinal shift; one fresh Canadian citation, otherwise settled ground</w:t>
      </w:r>
      <w:bookmarkEnd w:id="7"/>
    </w:p>
    <w:p w14:paraId="25CD0187" w14:textId="77777777" w:rsidR="006B1F93" w:rsidRDefault="00BF4498">
      <w:pPr>
        <w:pStyle w:val="FirstParagraph"/>
      </w:pPr>
      <w:r>
        <w:rPr>
          <w:b/>
          <w:bCs/>
        </w:rPr>
        <w:t>The substantive picture has not changed since well before the base dossier</w:t>
      </w:r>
      <w:r>
        <w:t xml:space="preserve"> — the load-bearing technical content (project-specific professional liability, or “PSPL,” </w:t>
      </w:r>
      <w:r>
        <w:t>as the standard fix; rectification/mitigation coverage as the IPD-specific feature; the insured-vs-insured and contractual-liability-exclusion problems the mutual waiver creates for ordinary E&amp;O) dates to 2023 and earlier (NFP, 2023-11-30, is the most technically detailed source found anywhere in this search, US-authored but broadly applicable). This addendum adds one genuinely new, genuinely Canadian citation and closes the loop on the “who runs Canada’s engineer PL program” question.</w:t>
      </w:r>
    </w:p>
    <w:p w14:paraId="44C05795" w14:textId="77777777" w:rsidR="006B1F93" w:rsidRDefault="00BF4498">
      <w:pPr>
        <w:pStyle w:val="BodyText"/>
      </w:pPr>
      <w:r>
        <w:rPr>
          <w:b/>
          <w:bCs/>
        </w:rPr>
        <w:t>New (2025):</w:t>
      </w:r>
      <w:r>
        <w:t xml:space="preserve"> </w:t>
      </w:r>
      <w:r>
        <w:t xml:space="preserve">Navacord (formerly Lloyd Sadd), “Why Project-Specific Professional Liability Insurance is Essential in IPD Projects,” ~2025-09-04. [V] — </w:t>
      </w:r>
      <w:r>
        <w:rPr>
          <w:rStyle w:val="VerbatimChar"/>
        </w:rPr>
        <w:t>lloydsadd.com/insights/why-project-specific-professional-liability-insurance-is-essential-in-ipd-projects/</w:t>
      </w:r>
      <w:r>
        <w:t xml:space="preserve">. Direct quote: without PSPL in place, the CCDC 30 GC 10.1 mutual-claims waiver “falls apart” — because a claim under a PSPL policy doesn’t require a lawsuit, so it doesn’t collide with the contract’s no-suit structure. </w:t>
      </w:r>
      <w:r>
        <w:rPr>
          <w:b/>
          <w:bCs/>
        </w:rPr>
        <w:t>This is the current Canadian broker-consensus answer to the base dossier’s open insurance question:</w:t>
      </w:r>
      <w:r>
        <w:t xml:space="preserve"> the recommended structure is </w:t>
      </w:r>
      <w:r>
        <w:rPr>
          <w:b/>
          <w:bCs/>
        </w:rPr>
        <w:t>(a) a single project-specific professional liability policy covering the whole IPD team</w:t>
      </w:r>
      <w:r>
        <w:t>, not per-firm endorsements to individual practice policies, and not a mandatory OCIP/CCIP wrap (though one secondary, unattributable-to-a-dated-source snippet suggested OCIP+PSPL combined as a “more sophisticated” option for larger projects — flagged UNVERIFIED for authorship/date).</w:t>
      </w:r>
    </w:p>
    <w:p w14:paraId="21ECCA2B" w14:textId="77777777" w:rsidR="006B1F93" w:rsidRDefault="00BF4498">
      <w:pPr>
        <w:pStyle w:val="BodyText"/>
      </w:pPr>
      <w:r>
        <w:rPr>
          <w:b/>
          <w:bCs/>
        </w:rPr>
        <w:t>Rectification/mitigation coverage</w:t>
      </w:r>
      <w:r>
        <w:t xml:space="preserve"> remains the key IPD-specific policy feature: it pays to fix a design or construction defect </w:t>
      </w:r>
      <w:r>
        <w:rPr>
          <w:i/>
          <w:iCs/>
        </w:rPr>
        <w:t>before</w:t>
      </w:r>
      <w:r>
        <w:t xml:space="preserve"> it becomes a claim, sidestepping the no-blame structure entirely. Confirmed by NFP (2023) and Navacord (2025) independently; concept traces back at least to a 2014 US broker article (Fenner-Esler) with only a maintenance-level 2025 touch, not new substance. [V]</w:t>
      </w:r>
    </w:p>
    <w:p w14:paraId="1414A1B3" w14:textId="77777777" w:rsidR="006B1F93" w:rsidRDefault="00BF4498">
      <w:pPr>
        <w:pStyle w:val="BodyText"/>
      </w:pPr>
      <w:r>
        <w:rPr>
          <w:b/>
          <w:bCs/>
        </w:rPr>
        <w:t>Who runs the standard Canadian engineer/architect PL program:</w:t>
      </w:r>
      <w:r>
        <w:t xml:space="preserve"> </w:t>
      </w:r>
      <w:r>
        <w:rPr>
          <w:b/>
          <w:bCs/>
        </w:rPr>
        <w:t>Victor Canada</w:t>
      </w:r>
      <w:r>
        <w:t xml:space="preserve"> </w:t>
      </w:r>
      <w:r>
        <w:t xml:space="preserve">(formerly ENCON Group Inc., a subsidiary of Marsh &amp; McLennan / Victor O. Schinnerer &amp; Co.), jointly endorsed by </w:t>
      </w:r>
      <w:r>
        <w:rPr>
          <w:b/>
          <w:bCs/>
        </w:rPr>
        <w:t>Engineers Canada and ACEC Canada since 1969</w:t>
      </w:r>
      <w:r>
        <w:t xml:space="preserve">. Victor Canada publishes a “Single Project Coverage” product for architects, engineers, land surveyors, landscape architects and PMs on a named project — claims-made, full prior-acts coverage from first services on that project, limits to $25M, no insured-vs-insured exclusion. [V] — </w:t>
      </w:r>
      <w:r>
        <w:rPr>
          <w:rStyle w:val="VerbatimChar"/>
        </w:rPr>
        <w:t>victorinsurance.com/ca/en/pl/solutions/ae/single-project.html</w:t>
      </w:r>
      <w:r>
        <w:t xml:space="preserve">. </w:t>
      </w:r>
      <w:r>
        <w:rPr>
          <w:b/>
          <w:bCs/>
        </w:rPr>
        <w:t>The product page itself does not name IPD or mutual waivers explicitly</w:t>
      </w:r>
      <w:r>
        <w:t xml:space="preserve"> — this is a general single-project wrap that is a plausible fit for IPD use, not a confirmed IPD-branded product. A March 2024 Engineers Canada article on this program covers deductible mechanics only, no IPD content.</w:t>
      </w:r>
    </w:p>
    <w:p w14:paraId="768C0DD7" w14:textId="77777777" w:rsidR="006B1F93" w:rsidRDefault="00BF4498">
      <w:pPr>
        <w:pStyle w:val="BodyText"/>
      </w:pPr>
      <w:r>
        <w:rPr>
          <w:b/>
          <w:bCs/>
        </w:rPr>
        <w:t>Wider adoption context (relevant to how urgent this is for KOR):</w:t>
      </w:r>
      <w:r>
        <w:t xml:space="preserve"> the most current Canadian legal survey found — Chambers Practice Guide, “Construction Law 2026 – Canada” </w:t>
      </w:r>
      <w:r>
        <w:t xml:space="preserve">(BLG authors, published 2026-06-04) — confirms IPD/alliance adoption is “growing but limited” and flags </w:t>
      </w:r>
      <w:r>
        <w:rPr>
          <w:b/>
          <w:bCs/>
        </w:rPr>
        <w:t>Quebec’s Bill 62 (2024), effective 2026-04-01, formally opening municipal collaborative contracting</w:t>
      </w:r>
      <w:r>
        <w:t xml:space="preserve"> (IPD, progressive design-build, alliance) — new geography to watch, outside KOR’s current AB/BC footprint but a signal of national momentum. This guide has </w:t>
      </w:r>
      <w:r>
        <w:rPr>
          <w:b/>
          <w:bCs/>
        </w:rPr>
        <w:t>zero substantive coverage of PL insurance or mutual-waiver mechanics</w:t>
      </w:r>
      <w:r>
        <w:t xml:space="preserve"> </w:t>
      </w:r>
      <w:r>
        <w:t>— itself informative: insurance treatment of IPD is still a specialist/broker topic, not yet mainstream legal-practice doctrine, even in the country’s most current construction-law survey. [V]</w:t>
      </w:r>
    </w:p>
    <w:p w14:paraId="75FBEBAF" w14:textId="77777777" w:rsidR="006B1F93" w:rsidRDefault="00BF4498">
      <w:pPr>
        <w:pStyle w:val="BodyText"/>
      </w:pPr>
      <w:r>
        <w:rPr>
          <w:b/>
          <w:bCs/>
        </w:rPr>
        <w:t>No IPD-specific published content found</w:t>
      </w:r>
      <w:r>
        <w:t xml:space="preserve"> </w:t>
      </w:r>
      <w:r>
        <w:t xml:space="preserve">from Aon Canada, Marsh Canada, BFL Canada (as a dated, attributable byline), Gallagher/AJG Canada, HUB International Canada, Jones Brown, or Novex Insurance — despite targeted searches. This does not mean these brokers lack a view; it means they haven’t published one publicly. The base dossier’s §7 reference to “an Aon executive” </w:t>
      </w:r>
      <w:r>
        <w:t>flagging collaborative-contracting insurance risk is a 2021 quote (David Bowcott) — old, not 2025-2026 new; worth noting the base dossier’s citation predates this addendum’s window.</w:t>
      </w:r>
    </w:p>
    <w:p w14:paraId="5C8D9F12" w14:textId="77777777" w:rsidR="006B1F93" w:rsidRDefault="00BF4498">
      <w:pPr>
        <w:pStyle w:val="BodyText"/>
      </w:pPr>
      <w:r>
        <w:rPr>
          <w:b/>
          <w:bCs/>
        </w:rPr>
        <w:t>Net assessment for KOR:</w:t>
      </w:r>
      <w:r>
        <w:t xml:space="preserve"> nothing here changes the base dossier’s action item (§8.6: “broker conversation on E&amp;O vs project-specific cover… before any signature”). What’s new is a name to bring to that conversation — </w:t>
      </w:r>
      <w:r>
        <w:rPr>
          <w:b/>
          <w:bCs/>
        </w:rPr>
        <w:t>Victor Canada / ENCON</w:t>
      </w:r>
      <w:r>
        <w:t>, the ACEC/Engineers Canada-endorsed program administrator, plus the Navacord PSPL framing as talking points — not a change in what to actually do.</w:t>
      </w:r>
    </w:p>
    <w:p w14:paraId="401C512D" w14:textId="77777777" w:rsidR="006B1F93" w:rsidRDefault="00BF4498">
      <w:r>
        <w:pict w14:anchorId="3DDE8B3C">
          <v:rect id="_x0000_i1028" style="width:0;height:1.5pt" o:hralign="center" o:hrstd="t" o:hr="t"/>
        </w:pict>
      </w:r>
    </w:p>
    <w:p w14:paraId="19630ACF" w14:textId="77777777" w:rsidR="006B1F93" w:rsidRDefault="00BF4498" w:rsidP="0070693F">
      <w:pPr>
        <w:pStyle w:val="Heading2"/>
        <w:pageBreakBefore/>
      </w:pPr>
      <w:bookmarkStart w:id="8" w:name="X212e16bda5906503be09d3963def89052bdef05"/>
      <w:bookmarkStart w:id="9" w:name="_Toc235282780"/>
      <w:bookmarkEnd w:id="6"/>
      <w:r>
        <w:t>4. Legal / disputes — no new cases; one existing case has escalated to appeal</w:t>
      </w:r>
      <w:bookmarkEnd w:id="9"/>
    </w:p>
    <w:p w14:paraId="07A26A6A" w14:textId="77777777" w:rsidR="006B1F93" w:rsidRDefault="00BF4498">
      <w:pPr>
        <w:pStyle w:val="FirstParagraph"/>
      </w:pPr>
      <w:r>
        <w:rPr>
          <w:b/>
          <w:bCs/>
        </w:rPr>
        <w:t>No new Canadian IPD or alliance-contract court decision or arbitration award, beyond the two the base dossier already knew, was found</w:t>
      </w:r>
      <w:r>
        <w:t xml:space="preserve"> </w:t>
      </w:r>
      <w:r>
        <w:t>after a direct CanLII search and a law-firm-bulletin sweep — but one of the two known cases has moved stages, and the other’s vintage needs correcting in the base dossier’s framing.</w:t>
      </w:r>
    </w:p>
    <w:p w14:paraId="7CD9155C" w14:textId="77777777" w:rsidR="006B1F93" w:rsidRDefault="00BF4498">
      <w:pPr>
        <w:pStyle w:val="BodyText"/>
      </w:pPr>
      <w:r>
        <w:rPr>
          <w:b/>
          <w:bCs/>
        </w:rPr>
        <w:t>Onec Construction v. NWT Energy — now under appeal.</w:t>
      </w:r>
      <w:r>
        <w:t xml:space="preserve"> [V] The trial decision the base dossier cites (</w:t>
      </w:r>
      <w:r>
        <w:rPr>
          <w:i/>
          <w:iCs/>
        </w:rPr>
        <w:t>Onec Construction Inc. v. NWT Energy Corp. Ltd. et al</w:t>
      </w:r>
      <w:r>
        <w:t>, 2025 NWTSC 56 — Inuvik High Point Wind Project access road, NWT; contract termed “Integrated Project Delivery Contract,” signed 2022-03-15) is confirmed unchanged in substance.</w:t>
      </w:r>
      <w:r>
        <w:t xml:space="preserve"> </w:t>
      </w:r>
      <w:r>
        <w:rPr>
          <w:b/>
          <w:bCs/>
        </w:rPr>
        <w:t>New:</w:t>
      </w:r>
      <w:r>
        <w:t xml:space="preserve"> the NWT Court of Appeal’s official pending-appeals list (</w:t>
      </w:r>
      <w:r>
        <w:rPr>
          <w:rStyle w:val="VerbatimChar"/>
        </w:rPr>
        <w:t>nwtcourts.ca</w:t>
      </w:r>
      <w:r>
        <w:t xml:space="preserve">, PDF, “as of 2026-07-18,” pulled directly — primary source) shows docket </w:t>
      </w:r>
      <w:r>
        <w:rPr>
          <w:b/>
          <w:bCs/>
        </w:rPr>
        <w:t>A-1-AP-2025-000011, “ONEC CONSTRUCTION INC. et al v. NORTHLAND BUILDERS LTD.”</w:t>
      </w:r>
      <w:r>
        <w:t xml:space="preserve"> — judgment 2025-08-06, appeal filed 2025-09-03, Respondent Factum filed 2026-06-12, no hearing date yet scheduled. </w:t>
      </w:r>
      <w:r>
        <w:rPr>
          <w:b/>
          <w:bCs/>
        </w:rPr>
        <w:t>The legal interpretation of “IPD contract” the base dossier draws from this case is therefore not yet final law</w:t>
      </w:r>
      <w:r>
        <w:t xml:space="preserve"> </w:t>
      </w:r>
      <w:r>
        <w:t>— flag this caveat wherever the case is cited going forward.</w:t>
      </w:r>
    </w:p>
    <w:p w14:paraId="2F1554BF" w14:textId="77777777" w:rsidR="006B1F93" w:rsidRDefault="00BF4498">
      <w:pPr>
        <w:pStyle w:val="BodyText"/>
      </w:pPr>
      <w:r>
        <w:rPr>
          <w:b/>
          <w:bCs/>
        </w:rPr>
        <w:t>The “Saskatchewan IPD arbitration” the base dossier references — identified, and it is old, not recent.</w:t>
      </w:r>
      <w:r>
        <w:t xml:space="preserve"> [V] This is almost certainly </w:t>
      </w:r>
      <w:r>
        <w:rPr>
          <w:i/>
          <w:iCs/>
        </w:rPr>
        <w:t>Graham Design Builders LP v. Black &amp; McDonald Ltd.</w:t>
      </w:r>
      <w:r>
        <w:t xml:space="preserve"> (Dr. F.H. Wigmore Regional Hospital, Moose Jaw, SK). Graham (CM/GC) vs. Black &amp; McDonald (subcontractor); arbitrator awarded BML ~$12.0M cost-to-complete + ~$1.44M profit + interest; Graham’s leave to appeal on interest/profit questions was </w:t>
      </w:r>
      <w:r>
        <w:rPr>
          <w:b/>
          <w:bCs/>
        </w:rPr>
        <w:t>denied by the Saskatchewan Court of Queen’s Bench in 2019 SKQB 161</w:t>
      </w:r>
      <w:r>
        <w:t xml:space="preserve"> (mixed fact/law, not pure law). Source: Glaholt Bowles, “IPD Gone Wrong: Graham Design Builders LP v. Black &amp; McDonald Ltd.,” 2021-02-21. </w:t>
      </w:r>
      <w:r>
        <w:rPr>
          <w:b/>
          <w:bCs/>
        </w:rPr>
        <w:t>This is a 2018–2019 case, not a 2024+ development</w:t>
      </w:r>
      <w:r>
        <w:t xml:space="preserve"> </w:t>
      </w:r>
      <w:r>
        <w:t>— if the base dossier’s phrasing implied recency, that should be corrected: it remains the field’s original landmark Canadian IPD dispute, still cited as such as recently as Glaholt Bowles’s 2025-12-05 provincial construction-law survey, with no successor Saskatchewan case since.</w:t>
      </w:r>
    </w:p>
    <w:p w14:paraId="6060F3A2" w14:textId="77777777" w:rsidR="006B1F93" w:rsidRDefault="00BF4498">
      <w:pPr>
        <w:pStyle w:val="BodyText"/>
      </w:pPr>
      <w:r>
        <w:rPr>
          <w:b/>
          <w:bCs/>
        </w:rPr>
        <w:t>Systematic negative result.</w:t>
      </w:r>
      <w:r>
        <w:t xml:space="preserve"> CanLII direct searches (“integrated project delivery,” “CCDC 30,” “alliance contract… dispute 2025 2026”</w:t>
      </w:r>
      <w:r>
        <w:t xml:space="preserve">) and a sweep of 2025-2026 law-firm bulletins (Glaholt Bowles 2025-12-05, DWF Canada Winter 2026 brief 2026-02-13, Chambers “Construction Law 2026 – Canada” 2026-06-04) surfaced no additional IPD/alliance case law. [I] Two years of searching CanLII and law-firm bulletins turns up </w:t>
      </w:r>
      <w:r>
        <w:rPr>
          <w:b/>
          <w:bCs/>
        </w:rPr>
        <w:t>zero instances of a design consultant or engineer being named as a party, or discussed as a target of liability, in any Canadian IPD/alliance dispute</w:t>
      </w:r>
      <w:r>
        <w:t xml:space="preserve"> </w:t>
      </w:r>
      <w:r>
        <w:t>— both known cases are owner/contractor/subcontractor payment-and-performance disputes with no consultant involvement. This absence is itself the risk-relevant finding for a structural engineering firm.</w:t>
      </w:r>
    </w:p>
    <w:p w14:paraId="026F7C4D" w14:textId="77777777" w:rsidR="006B1F93" w:rsidRDefault="00BF4498">
      <w:pPr>
        <w:pStyle w:val="BodyText"/>
      </w:pPr>
      <w:r>
        <w:rPr>
          <w:b/>
          <w:bCs/>
        </w:rPr>
        <w:t>Context, not a dispute:</w:t>
      </w:r>
      <w:r>
        <w:t xml:space="preserve"> Burnaby Hospital redevelopment is proceeding via BC’s “Alliance model” (ReNew Canada/infrastructure coverage, 2026) — a live BC alliance project worth watching for future disputes given KOR’s West Coast footprint (consistent with base dossier §6’s BC alliance tracking).</w:t>
      </w:r>
    </w:p>
    <w:p w14:paraId="0A003F69" w14:textId="77777777" w:rsidR="006B1F93" w:rsidRDefault="00BF4498">
      <w:r>
        <w:pict w14:anchorId="1D904255">
          <v:rect id="_x0000_i1029" style="width:0;height:1.5pt" o:hralign="center" o:hrstd="t" o:hr="t"/>
        </w:pict>
      </w:r>
    </w:p>
    <w:p w14:paraId="468D63C8" w14:textId="77777777" w:rsidR="006B1F93" w:rsidRDefault="00BF4498" w:rsidP="0070693F">
      <w:pPr>
        <w:pStyle w:val="Heading2"/>
        <w:pageBreakBefore/>
      </w:pPr>
      <w:bookmarkStart w:id="10" w:name="X88f8557ab06ed5211cad4b6921cb852875c8d4d"/>
      <w:bookmarkStart w:id="11" w:name="_Toc235282781"/>
      <w:bookmarkEnd w:id="8"/>
      <w:r>
        <w:t>5. Canadian professional-body guidance — EGBC and APEGA both still at zero; ACEC likewise</w:t>
      </w:r>
      <w:bookmarkEnd w:id="11"/>
    </w:p>
    <w:p w14:paraId="3939C8D0" w14:textId="77777777" w:rsidR="006B1F93" w:rsidRDefault="00BF4498">
      <w:pPr>
        <w:pStyle w:val="FirstParagraph"/>
      </w:pPr>
      <w:r>
        <w:rPr>
          <w:b/>
          <w:bCs/>
        </w:rPr>
        <w:t>EGBC: no change since the base dossier (2026-07-03).</w:t>
      </w:r>
      <w:r>
        <w:t xml:space="preserve"> [V] Direct site searches and an indexed-crawl check of EGBC’s news and practice-resources pages surfaced no EGBC-authored publication, bulletin, or guideline on IPD, alliance contracting, or CCDC 30. The base dossier’s verified-absence finding (§6, §7) stands unchanged. The only EGBC connection to the topic at all: EGBC is credited as a </w:t>
      </w:r>
      <w:r>
        <w:rPr>
          <w:b/>
          <w:bCs/>
        </w:rPr>
        <w:t>compliance-review contributor</w:t>
      </w:r>
      <w:r>
        <w:t xml:space="preserve"> </w:t>
      </w:r>
      <w:r>
        <w:t>(not author) on ACEC-BC’s “Budget Guidelines for Engineering Services, Document 1 — Transportation &amp; Infrastructure,” Version 2, 2025-08 — see below.</w:t>
      </w:r>
    </w:p>
    <w:p w14:paraId="78D9A3F5" w14:textId="77777777" w:rsidR="006B1F93" w:rsidRDefault="00BF4498">
      <w:pPr>
        <w:pStyle w:val="BodyText"/>
      </w:pPr>
      <w:r>
        <w:rPr>
          <w:b/>
          <w:bCs/>
        </w:rPr>
        <w:t>APEGA: confirmed zero.</w:t>
      </w:r>
      <w:r>
        <w:t xml:space="preserve"> [V] </w:t>
      </w:r>
      <w:r>
        <w:rPr>
          <w:rStyle w:val="VerbatimChar"/>
        </w:rPr>
        <w:t>site:apega.ca</w:t>
      </w:r>
      <w:r>
        <w:t xml:space="preserve"> </w:t>
      </w:r>
      <w:r>
        <w:t>searches for IPD/alliance/CCDC 30 returned nothing; APEGA’s full Practice Standards, Bulletins and Guidelines index (4 standards, 2 bulletins, 16 guidelines, 4 joint publications — most recent items a 2025-11-01 CPD standard and a 2025-04-01 authentication-requirements revision) was pulled directly and contains nothing on delivery models. APEGA has never published anything on this topic — a new, previously-unconfirmed data point the base dossier didn’t have (it focused on EGBC).</w:t>
      </w:r>
    </w:p>
    <w:p w14:paraId="5073EA62" w14:textId="77777777" w:rsidR="006B1F93" w:rsidRDefault="00BF4498">
      <w:pPr>
        <w:pStyle w:val="BodyText"/>
      </w:pPr>
      <w:r>
        <w:rPr>
          <w:b/>
          <w:bCs/>
        </w:rPr>
        <w:t>ACEC (national): nothing dedicated found.</w:t>
      </w:r>
      <w:r>
        <w:t xml:space="preserve"> [V] </w:t>
      </w:r>
      <w:r>
        <w:rPr>
          <w:rStyle w:val="VerbatimChar"/>
        </w:rPr>
        <w:t>acec.ca</w:t>
      </w:r>
      <w:r>
        <w:t xml:space="preserve"> </w:t>
      </w:r>
      <w:r>
        <w:t>searches and direct-fetch attempts (403’d, so search-index-reliant) surfaced no national position paper or bulletin on IPD/CCDC 30. One older award-profile mention: ACEC content cites the Drayton Valley Raw Water Treatment project (ISL Engineering) as the first Canadian municipal-infrastructure project delivered under CCDC 30, and the Kingston Third Crossing/Waaban Crossing as the first North American IPD bridge — pre-existing award content, not new guidance.</w:t>
      </w:r>
    </w:p>
    <w:p w14:paraId="09F39F86" w14:textId="77777777" w:rsidR="006B1F93" w:rsidRDefault="00BF4498">
      <w:pPr>
        <w:pStyle w:val="BodyText"/>
      </w:pPr>
      <w:r>
        <w:rPr>
          <w:b/>
          <w:bCs/>
        </w:rPr>
        <w:t>ACEC-BC (formerly Consulting Engineers of BC, renamed 2012):</w:t>
      </w:r>
      <w:r>
        <w:t xml:space="preserve"> one adjacent document worth logging. [V] “Budget Guidelines for Engineering Services, Document 1 – Transportation &amp; Infrastructure,” Version 2, 2025-08 (</w:t>
      </w:r>
      <w:r>
        <w:rPr>
          <w:rStyle w:val="VerbatimChar"/>
        </w:rPr>
        <w:t>acec-bc.ca</w:t>
      </w:r>
      <w:r>
        <w:t xml:space="preserve">), §7.2 “Risk Shared Consulting Assignments,” verbatim: </w:t>
      </w:r>
      <w:r>
        <w:rPr>
          <w:i/>
          <w:iCs/>
        </w:rPr>
        <w:t>“Risk-shared consulting assignments like Alliance or Integrated Project Delivery utilise alternate delivery arrangements that differentially share financial risk between project partners. Undertaking the necessary design work to assist with proposal preparation within a risk-shared consulting assignment involves considerable effort and risk on the part of the consulting engineer. For that reason, the consultant should be provided full remuneration for proposal development services.”</w:t>
      </w:r>
      <w:r>
        <w:t xml:space="preserve"> </w:t>
      </w:r>
      <w:r>
        <w:rPr>
          <w:b/>
          <w:bCs/>
        </w:rPr>
        <w:t>Caveat:</w:t>
      </w:r>
      <w:r>
        <w:t xml:space="preserve"> </w:t>
      </w:r>
      <w:r>
        <w:t xml:space="preserve">this exact language also appears in ACEC-BC’s 2022-11 “Document 2 – Buildings” guidelines — it is carried-over boilerplate, not new 2025 substance; the August 2025 update appears aimed at general regulatory-alignment language, not an IPD-specific refresh. A separate ACEC-BC position paper, “Partnering Considerations for Small Firms” (2026-06-10), addresses subconsultant protections in </w:t>
      </w:r>
      <w:r>
        <w:rPr>
          <w:b/>
          <w:bCs/>
        </w:rPr>
        <w:t>traditional</w:t>
      </w:r>
      <w:r>
        <w:t xml:space="preserve"> procurement only — explicitly not IPD-relevant, checked and ruled out.</w:t>
      </w:r>
    </w:p>
    <w:p w14:paraId="623B9D10" w14:textId="77777777" w:rsidR="006B1F93" w:rsidRDefault="00BF4498">
      <w:pPr>
        <w:pStyle w:val="BodyText"/>
      </w:pPr>
      <w:r>
        <w:rPr>
          <w:b/>
          <w:bCs/>
        </w:rPr>
        <w:t>Upstream trigger, not yet acted on by any body:</w:t>
      </w:r>
      <w:r>
        <w:t xml:space="preserve"> CCDC ran a 30-session seminar roadshow (Apr–May 2025) introducing CCDC 30-2025, then a 24-session 2026 roadshow (Apr–May 2026, per a 2026-07-16 Daily Commercial News piece by Don Wall, quoting Geza Banfai of McMillan LLP) focused on the newer CCDC 32-2026 Progressive Design-Build documents. </w:t>
      </w:r>
      <w:r>
        <w:rPr>
          <w:b/>
          <w:bCs/>
        </w:rPr>
        <w:t>None of these seminars were found to be hosted, co-branded, or promoted by EGBC, APEGA, or ACEC.</w:t>
      </w:r>
      <w:r>
        <w:t xml:space="preserve"> </w:t>
      </w:r>
      <w:r>
        <w:t>The CCDC 30-2025 release is the logical trigger for eventual professional-body guidance, but as of 2026-07-18, eighteen days after the base dossier, none has followed.</w:t>
      </w:r>
    </w:p>
    <w:p w14:paraId="2405504C" w14:textId="77777777" w:rsidR="006B1F93" w:rsidRDefault="00BF4498">
      <w:r>
        <w:pict w14:anchorId="424D7FEF">
          <v:rect id="_x0000_i1030" style="width:0;height:1.5pt" o:hralign="center" o:hrstd="t" o:hr="t"/>
        </w:pict>
      </w:r>
    </w:p>
    <w:p w14:paraId="7AE63325" w14:textId="77777777" w:rsidR="006B1F93" w:rsidRDefault="00BF4498" w:rsidP="0070693F">
      <w:pPr>
        <w:pStyle w:val="Heading2"/>
        <w:pageBreakBefore/>
      </w:pPr>
      <w:bookmarkStart w:id="12" w:name="still-could-not-verify"/>
      <w:bookmarkStart w:id="13" w:name="_Toc235282782"/>
      <w:bookmarkEnd w:id="10"/>
      <w:r>
        <w:t>Still could not verify</w:t>
      </w:r>
      <w:bookmarkEnd w:id="13"/>
    </w:p>
    <w:p w14:paraId="6C4513D7" w14:textId="77777777" w:rsidR="006B1F93" w:rsidRDefault="00BF4498">
      <w:pPr>
        <w:pStyle w:val="Compact"/>
        <w:numPr>
          <w:ilvl w:val="0"/>
          <w:numId w:val="7"/>
        </w:numPr>
      </w:pPr>
      <w:r>
        <w:t>The specific CCDC 30-2025 liability-cap figure (“$2M / capped at $20M”) — sourced by one stream to cwilson.com/Pallett Valo/Lexology, not corroborated by a second direct read; may belong to the CCDC 5A/5B/17 family rather than CCDC 30 itself.</w:t>
      </w:r>
    </w:p>
    <w:p w14:paraId="3117139F" w14:textId="77777777" w:rsidR="006B1F93" w:rsidRDefault="00BF4498">
      <w:pPr>
        <w:pStyle w:val="Compact"/>
        <w:numPr>
          <w:ilvl w:val="0"/>
          <w:numId w:val="7"/>
        </w:numPr>
      </w:pPr>
      <w:r>
        <w:t>Whether the wilful-misconduct/fraud/criminal-act/abandonment carve-out from the liability waiver applies verbatim to CCDC 30’s text specifically (confirmed only for CCDC 5A/5B/17 in the sources fetched).</w:t>
      </w:r>
    </w:p>
    <w:p w14:paraId="5D587F9F" w14:textId="77777777" w:rsidR="006B1F93" w:rsidRDefault="00BF4498">
      <w:pPr>
        <w:pStyle w:val="Compact"/>
        <w:numPr>
          <w:ilvl w:val="0"/>
          <w:numId w:val="7"/>
        </w:numPr>
      </w:pPr>
      <w:r>
        <w:t>Full primary-source text of CCDC 30-2025 (paywalled; base dossier action 2 — buy it, ~$100 — remains the way to close this).</w:t>
      </w:r>
    </w:p>
    <w:p w14:paraId="2724CDD5" w14:textId="77777777" w:rsidR="006B1F93" w:rsidRDefault="00BF4498">
      <w:pPr>
        <w:pStyle w:val="Compact"/>
        <w:numPr>
          <w:ilvl w:val="0"/>
          <w:numId w:val="7"/>
        </w:numPr>
      </w:pPr>
      <w:r>
        <w:t>Content and financial-breakdown status of the UBC thesis on IPD housing projects (UBC Library Open Collections 1.0378439) — access blocked twice.</w:t>
      </w:r>
    </w:p>
    <w:p w14:paraId="49F91A67" w14:textId="77777777" w:rsidR="006B1F93" w:rsidRDefault="00BF4498">
      <w:pPr>
        <w:pStyle w:val="Compact"/>
        <w:numPr>
          <w:ilvl w:val="0"/>
          <w:numId w:val="7"/>
        </w:numPr>
      </w:pPr>
      <w:r>
        <w:t xml:space="preserve">The 2016 “Motivation and Means” </w:t>
      </w:r>
      <w:r>
        <w:t>(Cheng &amp; Johnson) report’s original text — only secondary citations found; cannot fully rule out a discipline-level breakdown buried in an appendix.</w:t>
      </w:r>
    </w:p>
    <w:p w14:paraId="7476B9D5" w14:textId="77777777" w:rsidR="006B1F93" w:rsidRDefault="00BF4498">
      <w:pPr>
        <w:pStyle w:val="Compact"/>
        <w:numPr>
          <w:ilvl w:val="0"/>
          <w:numId w:val="7"/>
        </w:numPr>
      </w:pPr>
      <w:r>
        <w:t>Whether Canadian Consulting Engineer, Daily Commercial News, or Journal of Commerce have ever run a structural-consultant-specific IPD profit-pool story — nothing indexed found, archives not exhaustively searchable.</w:t>
      </w:r>
    </w:p>
    <w:p w14:paraId="09C4071C" w14:textId="77777777" w:rsidR="006B1F93" w:rsidRDefault="00BF4498">
      <w:pPr>
        <w:pStyle w:val="Compact"/>
        <w:numPr>
          <w:ilvl w:val="0"/>
          <w:numId w:val="7"/>
        </w:numPr>
      </w:pPr>
      <w:r>
        <w:t>BFL Canada’s actual authorship and publication date for the OCIP+PSPL/rectification snippet — could not trace to a dated, attributable page.</w:t>
      </w:r>
    </w:p>
    <w:p w14:paraId="405171D9" w14:textId="77777777" w:rsidR="006B1F93" w:rsidRDefault="00BF4498">
      <w:pPr>
        <w:pStyle w:val="Compact"/>
        <w:numPr>
          <w:ilvl w:val="0"/>
          <w:numId w:val="7"/>
        </w:numPr>
      </w:pPr>
      <w:r>
        <w:t>Any 2025-2026 published IPD/mutual-waiver guidance from Aon Canada, Marsh Canada, Gallagher/AJG, HUB International, or Jones Brown — none found; may exist only in broker-client-only materials.</w:t>
      </w:r>
    </w:p>
    <w:p w14:paraId="0F895FE9" w14:textId="77777777" w:rsidR="006B1F93" w:rsidRDefault="00BF4498">
      <w:pPr>
        <w:pStyle w:val="Compact"/>
        <w:numPr>
          <w:ilvl w:val="0"/>
          <w:numId w:val="7"/>
        </w:numPr>
      </w:pPr>
      <w:r>
        <w:t>Trial judge (2025 NWTSC 56) and arbitrator (Graham v. Black &amp; McDonald) names, and counsel of record on the Onec appeal — not disclosed in any source found, including the primary NWT Court of Appeal pending-list PDF.</w:t>
      </w:r>
    </w:p>
    <w:p w14:paraId="24312B76" w14:textId="77777777" w:rsidR="006B1F93" w:rsidRDefault="00BF4498">
      <w:pPr>
        <w:pStyle w:val="Compact"/>
        <w:numPr>
          <w:ilvl w:val="0"/>
          <w:numId w:val="7"/>
        </w:numPr>
      </w:pPr>
      <w:r>
        <w:t>Whether ACEC-BC or ACEC-Alberta formally co-hosted any 2025/2026 CCDC seminar session — chapter-level event calendars not fully retrievable.</w:t>
      </w:r>
    </w:p>
    <w:p w14:paraId="0D5D2217" w14:textId="77777777" w:rsidR="006B1F93" w:rsidRDefault="00BF4498">
      <w:r>
        <w:pict w14:anchorId="3231D17C">
          <v:rect id="_x0000_i1031" style="width:0;height:1.5pt" o:hralign="center" o:hrstd="t" o:hr="t"/>
        </w:pict>
      </w:r>
    </w:p>
    <w:p w14:paraId="48F18620" w14:textId="77777777" w:rsidR="006B1F93" w:rsidRDefault="00BF4498" w:rsidP="0070693F">
      <w:pPr>
        <w:pStyle w:val="Heading2"/>
        <w:pageBreakBefore/>
      </w:pPr>
      <w:bookmarkStart w:id="14" w:name="people-orgs-found-for-crm-logging"/>
      <w:bookmarkStart w:id="15" w:name="_Toc235282783"/>
      <w:bookmarkEnd w:id="12"/>
      <w:r>
        <w:t>People &amp; orgs found (for CRM logging)</w:t>
      </w:r>
      <w:bookmarkEnd w:id="15"/>
    </w:p>
    <w:p w14:paraId="74B3552F" w14:textId="77777777" w:rsidR="006B1F93" w:rsidRDefault="00BF4498">
      <w:pPr>
        <w:pStyle w:val="FirstParagraph"/>
      </w:pPr>
      <w:r>
        <w:rPr>
          <w:b/>
          <w:bCs/>
        </w:rPr>
        <w:t>Law firms / lawyers — CCDC 30-2025 commentary:</w:t>
      </w:r>
      <w:r>
        <w:t xml:space="preserve"> </w:t>
      </w:r>
      <w:r>
        <w:t>Gowling WLG (Karina Labelle, Vancouver) · Clark Wilson LLP, Vancouver (Scott Lamb, Kim Do) · Miller Thomson (Cobi Dayan, Vancouver partner) · Borden Ladner Gervais / BLG (Bill Woodhead, Theron Davis, Gustavo da Roza, Cailin te Stroete, Jesalyn Reimann) · Pallett Valo LLP (Jeremy Power) · Osler Hoskin &amp; Harcourt (webinar 2025-06-30, content not independently confirmed) · Dentons (bulletin exists, fetch blocked) · Beale &amp; Co and RAR Litigation (Rocco Ruso, Frank Martino — CCDC 5A/5B/17 content, not 30) · Glah</w:t>
      </w:r>
      <w:r>
        <w:t>olt Bowles (Brendan D. Bowles, Co-chair, Legal Update Committee, Canadian College of Construction Lawyers) · Singleton Urquhart Reynolds Vogel (Bruce Reynolds, Sharon Vogel, Nicholas Reynolds, Kathryn Irwin — general construction-law presence, no dedicated 2025 CCDC 30 piece located).</w:t>
      </w:r>
    </w:p>
    <w:p w14:paraId="1ED7EAEE" w14:textId="77777777" w:rsidR="006B1F93" w:rsidRDefault="00BF4498">
      <w:pPr>
        <w:pStyle w:val="BodyText"/>
      </w:pPr>
      <w:r>
        <w:rPr>
          <w:b/>
          <w:bCs/>
        </w:rPr>
        <w:t>Law firms — legal-disputes/trends sweep:</w:t>
      </w:r>
      <w:r>
        <w:t xml:space="preserve"> Chambers Practice Guide “Construction Law 2026 – Canada” authors Trish Morrison KC, Patrice Morin, Michael Skene, Andrew Punzo (all BLG) · DWF Canada (Winter 2026 Construction and Dispute Resolution Brief) · McMillan LLP (Geza Banfai, quoted on CCDC roadshow, Daily Commercial News 2026-07-16, reporter Don Wall).</w:t>
      </w:r>
    </w:p>
    <w:p w14:paraId="5C5C73DE" w14:textId="77777777" w:rsidR="006B1F93" w:rsidRDefault="00BF4498">
      <w:pPr>
        <w:pStyle w:val="BodyText"/>
      </w:pPr>
      <w:r>
        <w:rPr>
          <w:b/>
          <w:bCs/>
        </w:rPr>
        <w:t>Insurance — brokers, insurers, administrators:</w:t>
      </w:r>
      <w:r>
        <w:t xml:space="preserve"> </w:t>
      </w:r>
      <w:r>
        <w:t>Victor Canada (formerly ENCON Group Inc., subsidiary of Marsh &amp; McLennan/Victor O. Schinnerer &amp; Co.) · Navacord (formerly Lloyd Sadd, merged with Iridium Risk Services 2025-11-01) · NFP · Aon Canada (Construction Services Group; David Bowcott, quoted 2021 — old) · Marsh Canada · BFL Canada · Gallagher/AJG Canada · HUB International Canada · Jones Brown Inc. · Novex Insurance (Intact subsidiary) · Engineers Canada and ACEC Canada (joint program sponsors of Victor Canada since 1969).</w:t>
      </w:r>
    </w:p>
    <w:p w14:paraId="61D5E975" w14:textId="77777777" w:rsidR="006B1F93" w:rsidRDefault="00BF4498">
      <w:pPr>
        <w:pStyle w:val="BodyText"/>
      </w:pPr>
      <w:r>
        <w:rPr>
          <w:b/>
          <w:bCs/>
        </w:rPr>
        <w:t>Academic / research — structural-engineer economics:</w:t>
      </w:r>
      <w:r>
        <w:t xml:space="preserve"> Erik A. Poirier (PhD, ÉTS/GRIDD, lead author) · Ahmad Arar (ÉTS) · Sheryl Staub-French, Puyan Zadeh, Devarsh Bhonde (UBC BIM TOPiCS Lab) · Renee Cheng, Andrew Johnson (University of Minnesota, 2016 predecessor study) · Integrated Project Delivery Alliance (IPDA) and Lean Construction Institute (LCI), co-commissioning bodies.</w:t>
      </w:r>
    </w:p>
    <w:p w14:paraId="666A173A" w14:textId="77777777" w:rsidR="006B1F93" w:rsidRDefault="00BF4498">
      <w:pPr>
        <w:pStyle w:val="BodyText"/>
      </w:pPr>
      <w:r>
        <w:rPr>
          <w:b/>
          <w:bCs/>
        </w:rPr>
        <w:t>Named structural engineers on Canadian IPD projects (2022 IPDA report, cross-reference to base dossier §4/§5/§6):</w:t>
      </w:r>
      <w:r>
        <w:t xml:space="preserve"> </w:t>
      </w:r>
      <w:r>
        <w:t>John Ford, LEA Consulting — Barrie-Simcoe Emergency Services Campus · Patrick Taylor, WSP Canada — Canada Games Aquatic Centre (already known to base dossier as IPDA Treasurer) · Jeffrey Rabinovitch, RJC — Thelma Chalifoux/Soraya Hafez Schools (already known to base dossier as an RJC regional IPD lead) · Paul Creighton, Entuitive — building envelope, Canada Games Aquatic Centre.</w:t>
      </w:r>
    </w:p>
    <w:p w14:paraId="0F09F13A" w14:textId="77777777" w:rsidR="006B1F93" w:rsidRDefault="00BF4498">
      <w:pPr>
        <w:pStyle w:val="BodyText"/>
      </w:pPr>
      <w:r>
        <w:rPr>
          <w:b/>
          <w:bCs/>
        </w:rPr>
        <w:t>Professional bodies:</w:t>
      </w:r>
      <w:r>
        <w:t xml:space="preserve"> </w:t>
      </w:r>
      <w:r>
        <w:t>EGBC (confirmed zero IPD/CCDC 30 guidance, compliance-reviewer only on ACEC-BC’s budget guidelines) · APEGA (confirmed zero, newly checked) · ACEC Canada (national, zero dedicated guidance) · ACEC-BC (Small Firms Council + Business Practice Committee; one boilerplate §7.2 mention, one unrelated small-firms position paper) · Canadian Construction Documents Committee / CCDC (publisher of CCDC 30-2025, CCDC 30-G-2025, CCDC 32-2026).</w:t>
      </w:r>
    </w:p>
    <w:p w14:paraId="0B77F9CB" w14:textId="77777777" w:rsidR="006B1F93" w:rsidRDefault="00BF4498">
      <w:pPr>
        <w:pStyle w:val="BodyText"/>
      </w:pPr>
      <w:r>
        <w:rPr>
          <w:b/>
          <w:bCs/>
        </w:rPr>
        <w:t>Courts/parties (legal §4):</w:t>
      </w:r>
      <w:r>
        <w:t xml:space="preserve"> </w:t>
      </w:r>
      <w:r>
        <w:t>Supreme Court of the Northwest Territories (trial) and Court of Appeal for the Northwest Territories (appeal docket A-1-AP-2025-000011) · ONEC Construction Inc., NWT Energy Corporation (03) Ltd., Northland Builders Ltd., Liberty Mutual Insurance Company (surety) · Saskatchewan Court of Queen’s Bench (2019 SKQB 161) · Graham Design Builders LP, Black &amp; McDonald Ltd.</w:t>
      </w:r>
    </w:p>
    <w:p w14:paraId="14B68B4F" w14:textId="77777777" w:rsidR="006B1F93" w:rsidRDefault="00BF4498">
      <w:r>
        <w:pict w14:anchorId="3C3E5DD6">
          <v:rect id="_x0000_i1032" style="width:0;height:1.5pt" o:hralign="center" o:hrstd="t" o:hr="t"/>
        </w:pict>
      </w:r>
    </w:p>
    <w:p w14:paraId="3A0B0FC5" w14:textId="77777777" w:rsidR="006B1F93" w:rsidRDefault="00BF4498" w:rsidP="0070693F">
      <w:pPr>
        <w:pStyle w:val="Heading2"/>
        <w:pageBreakBefore/>
      </w:pPr>
      <w:bookmarkStart w:id="16" w:name="appendix-source-list-this-addendum"/>
      <w:bookmarkStart w:id="17" w:name="_Toc235282784"/>
      <w:bookmarkEnd w:id="14"/>
      <w:r>
        <w:t>Appendix — source list (this addendum)</w:t>
      </w:r>
      <w:bookmarkEnd w:id="17"/>
    </w:p>
    <w:p w14:paraId="5568C9A3" w14:textId="77777777" w:rsidR="006B1F93" w:rsidRDefault="00BF4498">
      <w:pPr>
        <w:pStyle w:val="FirstParagraph"/>
      </w:pPr>
      <w:r>
        <w:t>ccdc.org (CCDC 30-2025 product page) · blg.com · millerthomson.com · gowlingwlg.com · cwilson.com (Clark Wilson) · pallettvalo.com · dwfgroup.ca · osler.com · lloydsadd.com (Navacord) · nfp.com · victorinsurance.com · engineerscanada.ca · practiceguides.chambers.com · fasken.com · nwtcourts.ca (Court of Appeal pending list, primary) · canlii.org · glaholt.com · ipda.ca (2022 case-study PDF, primary) · leanipd.com · egbc.ca · apega.ca · acec.ca · acec-bc.ca · dailycommercialnews.com/ConstructConnect (Don Wal</w:t>
      </w:r>
      <w:r>
        <w:t>l, 2026-07-16) · fenner-esler.com.</w:t>
      </w:r>
    </w:p>
    <w:p w14:paraId="300C6096" w14:textId="77777777" w:rsidR="006B1F93" w:rsidRDefault="00BF4498">
      <w:pPr>
        <w:pStyle w:val="BodyText"/>
      </w:pPr>
      <w:r>
        <w:rPr>
          <w:i/>
          <w:iCs/>
        </w:rPr>
        <w:t>Method: five independent research streams (CCDC 30-2025 contract text; structural-engineer economics; insurance; legal disputes; professional-body guidance), each checked against primary or corroborating secondary sources claim by claim. Where two streams touched the same fact from different angles (e.g., the consequential-damages waiver, surfaced independently by the insurance and legal-disputes streams; the CCDC 30-2025 liability-cap discrepancy, surfaced by the legal-disputes stream but not the contract-</w:t>
      </w:r>
      <w:r>
        <w:rPr>
          <w:i/>
          <w:iCs/>
        </w:rPr>
        <w:t>text stream), the cross-check is noted in the text rather than silently resolved. Prepared 2026-07-18.</w:t>
      </w:r>
      <w:bookmarkEnd w:id="0"/>
      <w:bookmarkEnd w:id="16"/>
    </w:p>
    <w:sectPr w:rsidR="006B1F93">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16A79" w14:textId="77777777" w:rsidR="00BF4498" w:rsidRDefault="00BF4498" w:rsidP="0070693F">
      <w:pPr>
        <w:spacing w:after="0" w:line="240" w:lineRule="auto"/>
      </w:pPr>
      <w:r>
        <w:separator/>
      </w:r>
    </w:p>
  </w:endnote>
  <w:endnote w:type="continuationSeparator" w:id="0">
    <w:p w14:paraId="661100AE" w14:textId="77777777" w:rsidR="00BF4498" w:rsidRDefault="00BF4498" w:rsidP="00706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6E95D" w14:textId="77777777" w:rsidR="0070693F" w:rsidRDefault="007069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56034" w14:textId="0E00E8CD" w:rsidR="0070693F" w:rsidRPr="0070693F" w:rsidRDefault="0070693F" w:rsidP="0070693F">
    <w:pPr>
      <w:pStyle w:val="Footer"/>
      <w:pBdr>
        <w:top w:val="single" w:sz="4" w:space="1" w:color="D1D9E2"/>
      </w:pBdr>
      <w:rPr>
        <w:rFonts w:ascii="Segoe UI" w:hAnsi="Segoe UI"/>
        <w:color w:val="596674"/>
        <w:sz w:val="15"/>
      </w:rPr>
    </w:pPr>
    <w:r>
      <w:rPr>
        <w:rFonts w:ascii="Segoe UI" w:hAnsi="Segoe UI"/>
        <w:color w:val="596674"/>
        <w:sz w:val="15"/>
      </w:rPr>
      <w:t xml:space="preserve">KOR Structural  </w:t>
    </w:r>
    <w:r>
      <w:rPr>
        <w:rFonts w:ascii="Segoe UI" w:hAnsi="Segoe UI" w:hint="eastAsia"/>
        <w:color w:val="596674"/>
        <w:sz w:val="15"/>
      </w:rPr>
      <w:t>·</w:t>
    </w:r>
    <w:r>
      <w:rPr>
        <w:rFonts w:ascii="Segoe UI" w:hAnsi="Segoe UI"/>
        <w:color w:val="596674"/>
        <w:sz w:val="15"/>
      </w:rPr>
      <w:t xml:space="preserve">  KOR IPD Contract Economics Insurance Legal Addendum 2026 07 18</w:t>
    </w:r>
    <w:r>
      <w:rPr>
        <w:rFonts w:ascii="Segoe UI" w:hAnsi="Segoe UI"/>
        <w:color w:val="596674"/>
        <w:sz w:val="15"/>
      </w:rPr>
      <w:tab/>
    </w:r>
    <w:r>
      <w:rPr>
        <w:rFonts w:ascii="Segoe UI" w:hAnsi="Segoe UI"/>
        <w:color w:val="596674"/>
        <w:sz w:val="15"/>
      </w:rPr>
      <w:tab/>
    </w:r>
    <w:r>
      <w:rPr>
        <w:rFonts w:ascii="Segoe UI" w:hAnsi="Segoe UI"/>
        <w:color w:val="596674"/>
        <w:sz w:val="15"/>
      </w:rPr>
      <w:fldChar w:fldCharType="begin"/>
    </w:r>
    <w:r>
      <w:rPr>
        <w:rFonts w:ascii="Segoe UI" w:hAnsi="Segoe UI"/>
        <w:color w:val="596674"/>
        <w:sz w:val="15"/>
      </w:rPr>
      <w:instrText xml:space="preserve"> PAGE  \* MERGEFORMAT </w:instrText>
    </w:r>
    <w:r>
      <w:rPr>
        <w:rFonts w:ascii="Segoe UI" w:hAnsi="Segoe UI"/>
        <w:color w:val="596674"/>
        <w:sz w:val="15"/>
      </w:rPr>
      <w:fldChar w:fldCharType="separate"/>
    </w:r>
    <w:r>
      <w:rPr>
        <w:rFonts w:ascii="Segoe UI" w:hAnsi="Segoe UI"/>
        <w:noProof/>
        <w:color w:val="596674"/>
        <w:sz w:val="15"/>
      </w:rPr>
      <w:t>1</w:t>
    </w:r>
    <w:r>
      <w:rPr>
        <w:rFonts w:ascii="Segoe UI" w:hAnsi="Segoe UI"/>
        <w:color w:val="596674"/>
        <w:sz w:val="15"/>
      </w:rPr>
      <w:fldChar w:fldCharType="end"/>
    </w:r>
    <w:r>
      <w:rPr>
        <w:rFonts w:ascii="Segoe UI" w:hAnsi="Segoe UI"/>
        <w:color w:val="596674"/>
        <w:sz w:val="15"/>
      </w:rPr>
      <w:t xml:space="preserve"> of </w:t>
    </w:r>
    <w:r>
      <w:rPr>
        <w:rFonts w:ascii="Segoe UI" w:hAnsi="Segoe UI"/>
        <w:color w:val="596674"/>
        <w:sz w:val="15"/>
      </w:rPr>
      <w:fldChar w:fldCharType="begin"/>
    </w:r>
    <w:r>
      <w:rPr>
        <w:rFonts w:ascii="Segoe UI" w:hAnsi="Segoe UI"/>
        <w:color w:val="596674"/>
        <w:sz w:val="15"/>
      </w:rPr>
      <w:instrText xml:space="preserve"> NUMPAGES  \* MERGEFORMAT </w:instrText>
    </w:r>
    <w:r>
      <w:rPr>
        <w:rFonts w:ascii="Segoe UI" w:hAnsi="Segoe UI"/>
        <w:color w:val="596674"/>
        <w:sz w:val="15"/>
      </w:rPr>
      <w:fldChar w:fldCharType="separate"/>
    </w:r>
    <w:r>
      <w:rPr>
        <w:rFonts w:ascii="Segoe UI" w:hAnsi="Segoe UI"/>
        <w:noProof/>
        <w:color w:val="596674"/>
        <w:sz w:val="15"/>
      </w:rPr>
      <w:t>1</w:t>
    </w:r>
    <w:r>
      <w:rPr>
        <w:rFonts w:ascii="Segoe UI" w:hAnsi="Segoe UI"/>
        <w:color w:val="596674"/>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C1582" w14:textId="77777777" w:rsidR="0070693F" w:rsidRDefault="007069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85F4F" w14:textId="77777777" w:rsidR="00BF4498" w:rsidRDefault="00BF4498" w:rsidP="0070693F">
      <w:pPr>
        <w:spacing w:after="0" w:line="240" w:lineRule="auto"/>
      </w:pPr>
      <w:r>
        <w:separator/>
      </w:r>
    </w:p>
  </w:footnote>
  <w:footnote w:type="continuationSeparator" w:id="0">
    <w:p w14:paraId="1719DE67" w14:textId="77777777" w:rsidR="00BF4498" w:rsidRDefault="00BF4498" w:rsidP="007069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241B0" w14:textId="77777777" w:rsidR="0070693F" w:rsidRDefault="007069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83683" w14:textId="77777777" w:rsidR="0070693F" w:rsidRDefault="007069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EB0B4" w14:textId="77777777" w:rsidR="0070693F" w:rsidRDefault="007069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4E619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6D079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68650087">
    <w:abstractNumId w:val="0"/>
  </w:num>
  <w:num w:numId="2" w16cid:durableId="1994984013">
    <w:abstractNumId w:val="1"/>
  </w:num>
  <w:num w:numId="3" w16cid:durableId="795561817">
    <w:abstractNumId w:val="1"/>
  </w:num>
  <w:num w:numId="4" w16cid:durableId="1287197856">
    <w:abstractNumId w:val="1"/>
  </w:num>
  <w:num w:numId="5" w16cid:durableId="312567594">
    <w:abstractNumId w:val="1"/>
  </w:num>
  <w:num w:numId="6" w16cid:durableId="1314529005">
    <w:abstractNumId w:val="1"/>
  </w:num>
  <w:num w:numId="7" w16cid:durableId="14900548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B1F93"/>
    <w:rsid w:val="006B1F93"/>
    <w:rsid w:val="0070693F"/>
    <w:rsid w:val="00982065"/>
    <w:rsid w:val="00BF4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B879E"/>
  <w15:docId w15:val="{40E38FD5-6D1E-47F7-AE8D-AF133CFA7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40" w:line="264" w:lineRule="auto"/>
    </w:pPr>
    <w:rPr>
      <w:rFonts w:ascii="Georgia" w:hAnsi="Georgia"/>
      <w:sz w:val="20"/>
    </w:rPr>
  </w:style>
  <w:style w:type="paragraph" w:styleId="Heading1">
    <w:name w:val="heading 1"/>
    <w:basedOn w:val="Normal"/>
    <w:next w:val="BodyText"/>
    <w:link w:val="Heading1Char"/>
    <w:uiPriority w:val="9"/>
    <w:qFormat/>
    <w:rsid w:val="00A10FD9"/>
    <w:pPr>
      <w:keepNext/>
      <w:keepLines/>
      <w:spacing w:before="320" w:after="100"/>
      <w:outlineLvl w:val="0"/>
    </w:pPr>
    <w:rPr>
      <w:rFonts w:ascii="Segoe UI Semibold" w:eastAsiaTheme="majorEastAsia" w:hAnsi="Segoe UI Semibold" w:cstheme="majorBidi"/>
      <w:color w:val="1F3B5F"/>
      <w:sz w:val="44"/>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Segoe UI Semibold" w:eastAsiaTheme="majorEastAsia" w:hAnsi="Segoe UI Semibold"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320" w:after="100"/>
      <w:outlineLvl w:val="2"/>
    </w:pPr>
    <w:rPr>
      <w:rFonts w:ascii="Segoe UI Semibold" w:eastAsiaTheme="majorEastAsia" w:hAnsi="Segoe UI Semibold" w:cstheme="majorBidi"/>
      <w:b/>
      <w:color w:val="44546A"/>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keepNext/>
      <w:spacing w:before="320" w:after="100" w:line="240" w:lineRule="auto"/>
      <w:contextualSpacing/>
      <w:jc w:val="center"/>
    </w:pPr>
    <w:rPr>
      <w:rFonts w:ascii="Segoe UI Semibold" w:eastAsiaTheme="majorEastAsia" w:hAnsi="Segoe UI Semibold" w:cstheme="majorBidi"/>
      <w:color w:val="1F3B5F"/>
      <w:sz w:val="46"/>
      <w:szCs w:val="56"/>
    </w:rPr>
  </w:style>
  <w:style w:type="character" w:customStyle="1" w:styleId="TitleChar">
    <w:name w:val="Title Char"/>
    <w:basedOn w:val="DefaultParagraphFont"/>
    <w:link w:val="Title"/>
    <w:uiPriority w:val="10"/>
    <w:rsid w:val="00A10FD9"/>
    <w:rPr>
      <w:rFonts w:ascii="Segoe UI Semibold" w:eastAsiaTheme="majorEastAsia" w:hAnsi="Segoe UI Semibold" w:cstheme="majorBidi"/>
      <w:color w:val="1F3B5F"/>
      <w:sz w:val="4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Lines/>
    </w:pPr>
    <w:rPr>
      <w:sz w:val="24"/>
      <w:szCs w:val="24"/>
    </w:rPr>
  </w:style>
  <w:style w:type="paragraph" w:styleId="Date">
    <w:name w:val="Date"/>
    <w:basedOn w:val="Title"/>
    <w:next w:val="BodyText"/>
    <w:qFormat/>
    <w:pPr>
      <w:keepLines/>
    </w:pPr>
    <w:rPr>
      <w:sz w:val="24"/>
      <w:szCs w:val="24"/>
    </w:r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Segoe UI Semibold" w:eastAsiaTheme="majorEastAsia" w:hAnsi="Segoe UI Semibold" w:cstheme="majorBidi"/>
      <w:color w:val="1F3B5F"/>
      <w:sz w:val="44"/>
      <w:szCs w:val="40"/>
    </w:rPr>
  </w:style>
  <w:style w:type="character" w:customStyle="1" w:styleId="Heading2Char">
    <w:name w:val="Heading 2 Char"/>
    <w:basedOn w:val="DefaultParagraphFont"/>
    <w:link w:val="Heading2"/>
    <w:uiPriority w:val="9"/>
    <w:semiHidden/>
    <w:rsid w:val="00A10FD9"/>
    <w:rPr>
      <w:rFonts w:ascii="Segoe UI Semibold" w:eastAsiaTheme="majorEastAsia" w:hAnsi="Segoe UI Semibold"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Segoe UI Semibold" w:eastAsiaTheme="majorEastAsia" w:hAnsi="Segoe UI Semibold" w:cstheme="majorBidi"/>
      <w:b/>
      <w:color w:val="44546A"/>
      <w:sz w:val="22"/>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70693F"/>
    <w:pPr>
      <w:spacing w:after="100"/>
    </w:pPr>
  </w:style>
  <w:style w:type="paragraph" w:styleId="TOC2">
    <w:name w:val="toc 2"/>
    <w:basedOn w:val="Normal"/>
    <w:next w:val="Normal"/>
    <w:autoRedefine/>
    <w:uiPriority w:val="39"/>
    <w:rsid w:val="0070693F"/>
    <w:pPr>
      <w:spacing w:after="100"/>
      <w:ind w:left="240"/>
    </w:pPr>
  </w:style>
  <w:style w:type="paragraph" w:styleId="Header">
    <w:name w:val="header"/>
    <w:basedOn w:val="Normal"/>
    <w:link w:val="HeaderChar"/>
    <w:rsid w:val="0070693F"/>
    <w:pPr>
      <w:tabs>
        <w:tab w:val="center" w:pos="4680"/>
        <w:tab w:val="right" w:pos="9360"/>
      </w:tabs>
      <w:spacing w:after="0" w:line="240" w:lineRule="auto"/>
    </w:pPr>
  </w:style>
  <w:style w:type="character" w:customStyle="1" w:styleId="HeaderChar">
    <w:name w:val="Header Char"/>
    <w:basedOn w:val="DefaultParagraphFont"/>
    <w:link w:val="Header"/>
    <w:rsid w:val="0070693F"/>
    <w:rPr>
      <w:rFonts w:ascii="Georgia" w:hAnsi="Georgia"/>
      <w:sz w:val="20"/>
    </w:rPr>
  </w:style>
  <w:style w:type="paragraph" w:styleId="Footer">
    <w:name w:val="footer"/>
    <w:basedOn w:val="Normal"/>
    <w:link w:val="FooterChar"/>
    <w:rsid w:val="0070693F"/>
    <w:pPr>
      <w:tabs>
        <w:tab w:val="center" w:pos="4680"/>
        <w:tab w:val="right" w:pos="9360"/>
      </w:tabs>
      <w:spacing w:after="0" w:line="240" w:lineRule="auto"/>
    </w:pPr>
  </w:style>
  <w:style w:type="character" w:customStyle="1" w:styleId="FooterChar">
    <w:name w:val="Footer Char"/>
    <w:basedOn w:val="DefaultParagraphFont"/>
    <w:link w:val="Footer"/>
    <w:rsid w:val="0070693F"/>
    <w:rPr>
      <w:rFonts w:ascii="Georgia" w:hAnsi="Georgi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4820</Words>
  <Characters>27478</Characters>
  <Application>Microsoft Office Word</Application>
  <DocSecurity>0</DocSecurity>
  <Lines>228</Lines>
  <Paragraphs>64</Paragraphs>
  <ScaleCrop>false</ScaleCrop>
  <Company/>
  <LinksUpToDate>false</LinksUpToDate>
  <CharactersWithSpaces>32234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Ian Lalonde</cp:lastModifiedBy>
  <cp:revision>2</cp:revision>
  <dcterms:created xsi:type="dcterms:W3CDTF">2026-07-18T22:59:00Z</dcterms:created>
  <dcterms:modified xsi:type="dcterms:W3CDTF">2026-07-18T22:59:00Z</dcterms:modified>
</cp:coreProperties>
</file>