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9474" w14:textId="77777777" w:rsidR="008A732C" w:rsidRDefault="00FE1D4E">
      <w:pPr>
        <w:pStyle w:val="Heading1"/>
      </w:pPr>
      <w:bookmarkStart w:id="0" w:name="X45b702f970bfbec768a8932bcfdec7ca311d71c"/>
      <w:r>
        <w:t>LMFM Professional Engineers Prequalification — KOR Structural Execution Plan</w:t>
      </w:r>
    </w:p>
    <w:p w14:paraId="59670646" w14:textId="77777777" w:rsidR="008A732C" w:rsidRDefault="00FE1D4E">
      <w:pPr>
        <w:pStyle w:val="FirstParagraph"/>
      </w:pPr>
      <w:r>
        <w:rPr>
          <w:i/>
          <w:iCs/>
        </w:rPr>
        <w:t>BD action plan · KOR Structural · 24 Jun 2026 · INTERNAL · Source: FMP reply + Bonfire opportunity 101915 + LMFM RFPQ structure (verified)</w:t>
      </w:r>
    </w:p>
    <w:p w14:paraId="606886FE" w14:textId="77777777" w:rsidR="008A732C" w:rsidRDefault="00FE1D4E" w:rsidP="00634BB9">
      <w:pPr>
        <w:pStyle w:val="Heading2"/>
        <w:pageBreakBefore/>
      </w:pPr>
      <w:bookmarkStart w:id="1" w:name="the-big-change-its-open-now"/>
      <w:r>
        <w:t>The big change: it’s OPEN NOW</w:t>
      </w:r>
    </w:p>
    <w:p w14:paraId="250F96C4" w14:textId="77777777" w:rsidR="008A732C" w:rsidRDefault="00FE1D4E">
      <w:pPr>
        <w:pStyle w:val="FirstParagraph"/>
      </w:pPr>
      <w:r>
        <w:t xml:space="preserve">FMP confirmed the </w:t>
      </w:r>
      <w:r>
        <w:rPr>
          <w:b/>
          <w:bCs/>
        </w:rPr>
        <w:t>2026 RFPQ for Professional Engineers is “Open and Ongoing”</w:t>
      </w:r>
      <w:r>
        <w:t xml:space="preserve"> — we do </w:t>
      </w:r>
      <w:r>
        <w:rPr>
          <w:b/>
          <w:bCs/>
        </w:rPr>
        <w:t>not</w:t>
      </w:r>
      <w:r>
        <w:t xml:space="preserve"> wait for a fall window. Submissions are evaluated </w:t>
      </w:r>
      <w:r>
        <w:rPr>
          <w:b/>
          <w:bCs/>
        </w:rPr>
        <w:t>on a rolling basis</w:t>
      </w:r>
      <w:r>
        <w:t xml:space="preserve"> (whenever enough accumulate, they go to the evaluation committee).</w:t>
      </w:r>
    </w:p>
    <w:p w14:paraId="6217A488" w14:textId="77777777" w:rsidR="008A732C" w:rsidRDefault="00FE1D4E">
      <w:pPr>
        <w:pStyle w:val="Compact"/>
        <w:numPr>
          <w:ilvl w:val="0"/>
          <w:numId w:val="2"/>
        </w:numPr>
      </w:pPr>
      <w:r>
        <w:rPr>
          <w:b/>
          <w:bCs/>
        </w:rPr>
        <w:t>Apply link (Euna/Bonfire):</w:t>
      </w:r>
      <w:r>
        <w:t xml:space="preserve"> https://fraserhealth.bonfirehub.ca/opportunities/101915</w:t>
      </w:r>
    </w:p>
    <w:p w14:paraId="400FF29D" w14:textId="77777777" w:rsidR="008A732C" w:rsidRDefault="00FE1D4E">
      <w:pPr>
        <w:pStyle w:val="Compact"/>
        <w:numPr>
          <w:ilvl w:val="0"/>
          <w:numId w:val="2"/>
        </w:numPr>
      </w:pPr>
      <w:r>
        <w:rPr>
          <w:b/>
          <w:bCs/>
        </w:rPr>
        <w:t>Close date:</w:t>
      </w:r>
      <w:r>
        <w:t xml:space="preserve"> 30 Sept 2026 — but FMP warns this </w:t>
      </w:r>
      <w:r>
        <w:rPr>
          <w:b/>
          <w:bCs/>
        </w:rPr>
        <w:t>can be pulled forward</w:t>
      </w:r>
      <w:r>
        <w:t xml:space="preserve"> when they prepare the next Annual Refresh. Document takers are notified of an early close, but </w:t>
      </w:r>
      <w:r>
        <w:rPr>
          <w:b/>
          <w:bCs/>
        </w:rPr>
        <w:t>do not rely on it — submit early.</w:t>
      </w:r>
    </w:p>
    <w:p w14:paraId="3EDB3884" w14:textId="77777777" w:rsidR="008A732C" w:rsidRDefault="00FE1D4E">
      <w:pPr>
        <w:pStyle w:val="Compact"/>
        <w:numPr>
          <w:ilvl w:val="0"/>
          <w:numId w:val="2"/>
        </w:numPr>
      </w:pPr>
      <w:r>
        <w:rPr>
          <w:b/>
          <w:bCs/>
        </w:rPr>
        <w:t>This is the VCH list</w:t>
      </w:r>
      <w:r>
        <w:t xml:space="preserve"> (LMFM acts on behalf of FHA, PHC, PHSA &amp; </w:t>
      </w:r>
      <w:r>
        <w:rPr>
          <w:b/>
          <w:bCs/>
        </w:rPr>
        <w:t>VCH</w:t>
      </w:r>
      <w:r>
        <w:t xml:space="preserve"> — confirmed on the RFPQ masthead). One application; covers VCH.</w:t>
      </w:r>
    </w:p>
    <w:p w14:paraId="7B1404BA" w14:textId="77777777" w:rsidR="008A732C" w:rsidRDefault="00FE1D4E" w:rsidP="00634BB9">
      <w:pPr>
        <w:pStyle w:val="Heading2"/>
        <w:pageBreakBefore/>
      </w:pPr>
      <w:bookmarkStart w:id="2" w:name="three-rules-fmp-stated-explicitly"/>
      <w:bookmarkEnd w:id="1"/>
      <w:r>
        <w:t>Three rules FMP stated explicitly</w:t>
      </w:r>
    </w:p>
    <w:p w14:paraId="4A065F89" w14:textId="77777777" w:rsidR="008A732C" w:rsidRDefault="00FE1D4E">
      <w:pPr>
        <w:pStyle w:val="Compact"/>
        <w:numPr>
          <w:ilvl w:val="0"/>
          <w:numId w:val="3"/>
        </w:numPr>
      </w:pPr>
      <w:r>
        <w:rPr>
          <w:b/>
          <w:bCs/>
        </w:rPr>
        <w:t>One submission per discipline.</w:t>
      </w:r>
      <w:r>
        <w:t xml:space="preserve"> KOR applies for </w:t>
      </w:r>
      <w:r>
        <w:rPr>
          <w:b/>
          <w:bCs/>
        </w:rPr>
        <w:t>Structural only → one submission.</w:t>
      </w:r>
      <w:r>
        <w:t xml:space="preserve"> (Any additional discipline = its own separate submission.)</w:t>
      </w:r>
    </w:p>
    <w:p w14:paraId="718BF04B" w14:textId="77777777" w:rsidR="008A732C" w:rsidRDefault="00FE1D4E">
      <w:pPr>
        <w:pStyle w:val="Compact"/>
        <w:numPr>
          <w:ilvl w:val="0"/>
          <w:numId w:val="3"/>
        </w:numPr>
      </w:pPr>
      <w:r>
        <w:rPr>
          <w:b/>
          <w:bCs/>
        </w:rPr>
        <w:t>References must be discipline-specific.</w:t>
      </w:r>
      <w:r>
        <w:t xml:space="preserve"> Each submission is supported by project references </w:t>
      </w:r>
      <w:r>
        <w:rPr>
          <w:b/>
          <w:bCs/>
        </w:rPr>
        <w:t>specific to that discipline</w:t>
      </w:r>
      <w:r>
        <w:t xml:space="preserve"> (Structural).</w:t>
      </w:r>
    </w:p>
    <w:p w14:paraId="208E722C" w14:textId="77777777" w:rsidR="008A732C" w:rsidRDefault="00FE1D4E">
      <w:pPr>
        <w:pStyle w:val="Compact"/>
        <w:numPr>
          <w:ilvl w:val="0"/>
          <w:numId w:val="3"/>
        </w:numPr>
      </w:pPr>
      <w:r>
        <w:rPr>
          <w:b/>
          <w:bCs/>
        </w:rPr>
        <w:t>Allocate fees on multi-discipline projects.</w:t>
      </w:r>
      <w:r>
        <w:t xml:space="preserve"> Where KOR was one of several engineering disciplines on a project, state </w:t>
      </w:r>
      <w:r>
        <w:rPr>
          <w:b/>
          <w:bCs/>
        </w:rPr>
        <w:t>KOR’s structural fee portion</w:t>
      </w:r>
      <w:r>
        <w:t xml:space="preserve"> (not the whole engineering fee) — that is what’s evaluated, and it’s what places the reference in a fee band.</w:t>
      </w:r>
    </w:p>
    <w:p w14:paraId="13BEBE74" w14:textId="77777777" w:rsidR="008A732C" w:rsidRDefault="00FE1D4E">
      <w:r>
        <w:pict w14:anchorId="63D5F3AE">
          <v:rect id="_x0000_i1025" style="width:0;height:1.5pt" o:hralign="center" o:hrstd="t" o:hr="t"/>
        </w:pict>
      </w:r>
    </w:p>
    <w:p w14:paraId="179D3206" w14:textId="77777777" w:rsidR="008A732C" w:rsidRDefault="00FE1D4E" w:rsidP="00634BB9">
      <w:pPr>
        <w:pStyle w:val="Heading2"/>
        <w:pageBreakBefore/>
      </w:pPr>
      <w:bookmarkStart w:id="3" w:name="X87c6152c0b2ec3a7afea45f75532025601c8dea"/>
      <w:bookmarkEnd w:id="2"/>
      <w:r>
        <w:t>Phase 0 — Register + pull the authoritative requirements (DO TODAY, ~15 min)</w:t>
      </w:r>
    </w:p>
    <w:p w14:paraId="0494C768" w14:textId="77777777" w:rsidR="008A732C" w:rsidRDefault="00FE1D4E">
      <w:pPr>
        <w:pStyle w:val="Compact"/>
        <w:numPr>
          <w:ilvl w:val="0"/>
          <w:numId w:val="4"/>
        </w:numPr>
      </w:pPr>
      <w:r>
        <w:t>Go to https://fraserhealth.bonfirehub.ca/opportunities/101915</w:t>
      </w:r>
    </w:p>
    <w:p w14:paraId="5AB28F3C" w14:textId="77777777" w:rsidR="008A732C" w:rsidRDefault="00FE1D4E">
      <w:pPr>
        <w:pStyle w:val="Compact"/>
        <w:numPr>
          <w:ilvl w:val="0"/>
          <w:numId w:val="5"/>
        </w:numPr>
      </w:pPr>
      <w:r>
        <w:t xml:space="preserve">Create / log into a </w:t>
      </w:r>
      <w:r>
        <w:rPr>
          <w:b/>
          <w:bCs/>
        </w:rPr>
        <w:t>Euna-Bonfire vendor account</w:t>
      </w:r>
      <w:r>
        <w:t xml:space="preserve"> — use a durable KOR email (a BD/ops shared inbox is better than a personal one, so notifications don’t get lost).</w:t>
      </w:r>
    </w:p>
    <w:p w14:paraId="0F2DE251" w14:textId="77777777" w:rsidR="008A732C" w:rsidRDefault="00FE1D4E">
      <w:pPr>
        <w:pStyle w:val="Compact"/>
        <w:numPr>
          <w:ilvl w:val="0"/>
          <w:numId w:val="6"/>
        </w:numPr>
      </w:pPr>
      <w:r>
        <w:rPr>
          <w:b/>
          <w:bCs/>
        </w:rPr>
        <w:t>Register as a Document Taker</w:t>
      </w:r>
      <w:r>
        <w:t xml:space="preserve"> on opportunity 101915. This (a) unlocks the documents and (b) puts KOR on the notify list for addenda / early close.</w:t>
      </w:r>
    </w:p>
    <w:p w14:paraId="6E4FF804" w14:textId="77777777" w:rsidR="008A732C" w:rsidRDefault="00FE1D4E">
      <w:pPr>
        <w:pStyle w:val="Compact"/>
        <w:numPr>
          <w:ilvl w:val="0"/>
          <w:numId w:val="7"/>
        </w:numPr>
      </w:pPr>
      <w:r>
        <w:rPr>
          <w:b/>
          <w:bCs/>
        </w:rPr>
        <w:t>Download the full RFPQ package</w:t>
      </w:r>
      <w:r>
        <w:t xml:space="preserve">: the RFPQ document + every appendix/form + the “Requested Information” list (the upload slots + any rated questionnaire). </w:t>
      </w:r>
      <w:r>
        <w:rPr>
          <w:b/>
          <w:bCs/>
        </w:rPr>
        <w:t xml:space="preserve">This </w:t>
      </w:r>
      <w:r>
        <w:rPr>
          <w:b/>
          <w:bCs/>
        </w:rPr>
        <w:lastRenderedPageBreak/>
        <w:t>package is the authoritative requirements list — reconcile Phase 2 below against it.</w:t>
      </w:r>
    </w:p>
    <w:p w14:paraId="0CEAB34F" w14:textId="77777777" w:rsidR="008A732C" w:rsidRDefault="00FE1D4E">
      <w:pPr>
        <w:pStyle w:val="Compact"/>
        <w:numPr>
          <w:ilvl w:val="0"/>
          <w:numId w:val="8"/>
        </w:numPr>
      </w:pPr>
      <w:r>
        <w:t>Skim Bonfire help if needed: https://fraserhealth.bonfirehub.ca/portal/support</w:t>
      </w:r>
    </w:p>
    <w:p w14:paraId="22ED88EF" w14:textId="77777777" w:rsidR="008A732C" w:rsidRDefault="00FE1D4E" w:rsidP="00634BB9">
      <w:pPr>
        <w:pStyle w:val="Heading2"/>
        <w:pageBreakBefore/>
      </w:pPr>
      <w:bookmarkStart w:id="4" w:name="X5151946f46ef48ee8a57ee5a734a4d031f955d4"/>
      <w:bookmarkEnd w:id="3"/>
      <w:r>
        <w:t>Phase 1 — Decide scope &amp; references BEFORE assembling (Ian + a principal, ~1 hr)</w:t>
      </w:r>
    </w:p>
    <w:p w14:paraId="0DAB0B40" w14:textId="77777777" w:rsidR="008A732C" w:rsidRDefault="00FE1D4E">
      <w:pPr>
        <w:pStyle w:val="Compact"/>
        <w:numPr>
          <w:ilvl w:val="0"/>
          <w:numId w:val="9"/>
        </w:numPr>
      </w:pPr>
      <w:r>
        <w:rPr>
          <w:b/>
          <w:bCs/>
        </w:rPr>
        <w:t>Discipline:</w:t>
      </w:r>
      <w:r>
        <w:t xml:space="preserve"> Structural — one submission. Confirmed.</w:t>
      </w:r>
    </w:p>
    <w:p w14:paraId="75DB423B" w14:textId="77777777" w:rsidR="008A732C" w:rsidRDefault="00FE1D4E">
      <w:pPr>
        <w:pStyle w:val="Compact"/>
        <w:numPr>
          <w:ilvl w:val="0"/>
          <w:numId w:val="10"/>
        </w:numPr>
      </w:pPr>
      <w:r>
        <w:rPr>
          <w:b/>
          <w:bCs/>
        </w:rPr>
        <w:t>Which cells to claim</w:t>
      </w:r>
      <w:r>
        <w:t xml:space="preserve"> (the roster is Acute vs Non-Acute × fee band: </w:t>
      </w:r>
      <w:r>
        <w:rPr>
          <w:rStyle w:val="VerbatimChar"/>
        </w:rPr>
        <w:t>&lt;$150K / $150K–1M / $1M–5M / &gt;$5M</w:t>
      </w:r>
      <w:r>
        <w:t>):</w:t>
      </w:r>
    </w:p>
    <w:p w14:paraId="7788C32C" w14:textId="77777777" w:rsidR="008A732C" w:rsidRDefault="00FE1D4E">
      <w:pPr>
        <w:pStyle w:val="Compact"/>
        <w:numPr>
          <w:ilvl w:val="1"/>
          <w:numId w:val="11"/>
        </w:numPr>
      </w:pPr>
      <w:r>
        <w:rPr>
          <w:b/>
          <w:bCs/>
        </w:rPr>
        <w:t>Claim Non-Acute</w:t>
      </w:r>
      <w:r>
        <w:t xml:space="preserve"> across every band KOR can back with a genuine reference.</w:t>
      </w:r>
    </w:p>
    <w:p w14:paraId="54B464FF" w14:textId="77777777" w:rsidR="008A732C" w:rsidRDefault="00FE1D4E">
      <w:pPr>
        <w:pStyle w:val="Compact"/>
        <w:numPr>
          <w:ilvl w:val="1"/>
          <w:numId w:val="11"/>
        </w:numPr>
      </w:pPr>
      <w:r>
        <w:rPr>
          <w:b/>
          <w:bCs/>
        </w:rPr>
        <w:t>Claim Acute</w:t>
      </w:r>
      <w:r>
        <w:t xml:space="preserve"> only at bands where KOR has a true post-disaster / high-importance (IE=1.5) reference. </w:t>
      </w:r>
      <w:r>
        <w:rPr>
          <w:b/>
          <w:bCs/>
        </w:rPr>
        <w:t>Do not over-claim</w:t>
      </w:r>
      <w:r>
        <w:t xml:space="preserve"> — references that don’t substantiate a cell get rated down. It’s fine to enter Non-Acute first and add Acute at the next refresh once a healthcare credit exists.</w:t>
      </w:r>
    </w:p>
    <w:p w14:paraId="279367C6" w14:textId="77777777" w:rsidR="008A732C" w:rsidRDefault="00FE1D4E">
      <w:pPr>
        <w:pStyle w:val="Compact"/>
        <w:numPr>
          <w:ilvl w:val="0"/>
          <w:numId w:val="12"/>
        </w:numPr>
      </w:pPr>
      <w:r>
        <w:rPr>
          <w:b/>
          <w:bCs/>
        </w:rPr>
        <w:t>Pick the reference projects</w:t>
      </w:r>
      <w:r>
        <w:t xml:space="preserve"> </w:t>
      </w:r>
      <w:r>
        <w:t>(KOR’s strongest Structural work) and map each to: care-type (Acute/Non-Acute), KOR’s structural fee → fee band, role (SEoR), value, client, completion, reference contact.</w:t>
      </w:r>
    </w:p>
    <w:p w14:paraId="5D00E84D" w14:textId="77777777" w:rsidR="008A732C" w:rsidRDefault="00FE1D4E" w:rsidP="00634BB9">
      <w:pPr>
        <w:pStyle w:val="Heading2"/>
        <w:pageBreakBefore/>
      </w:pPr>
      <w:bookmarkStart w:id="5" w:name="X3d63391a7ea6e91d7fb3c0f62b37da52fef7d6d"/>
      <w:bookmarkEnd w:id="4"/>
      <w:r>
        <w:t>Phase 2 — Assemble the submission package (expected LMFM components — confirm vs the downloaded forms)</w:t>
      </w:r>
    </w:p>
    <w:p w14:paraId="06DCB5DB" w14:textId="77777777" w:rsidR="008A732C" w:rsidRDefault="00FE1D4E" w:rsidP="00634BB9">
      <w:pPr>
        <w:pStyle w:val="BlockText"/>
        <w:pBdr>
          <w:top w:val="single" w:sz="8" w:space="1" w:color="1F3B5F"/>
          <w:left w:val="single" w:sz="8" w:space="4" w:color="1F3B5F"/>
          <w:bottom w:val="single" w:sz="8" w:space="1" w:color="1F3B5F"/>
          <w:right w:val="single" w:sz="8" w:space="4" w:color="1F3B5F"/>
        </w:pBdr>
        <w:shd w:val="clear" w:color="auto" w:fill="E2EBF6"/>
        <w:spacing w:before="120" w:after="120"/>
        <w:ind w:left="200" w:right="200"/>
      </w:pPr>
      <w:r>
        <w:t>These are the standard LMFM RFPQ-for-engineers components. The downloaded package in Phase 0 is authoritative; treat this as the prep checklist.</w:t>
      </w:r>
    </w:p>
    <w:p w14:paraId="5C394AE7" w14:textId="77777777" w:rsidR="008A732C" w:rsidRDefault="00FE1D4E">
      <w:pPr>
        <w:pStyle w:val="Compact"/>
        <w:numPr>
          <w:ilvl w:val="0"/>
          <w:numId w:val="13"/>
        </w:numPr>
      </w:pPr>
      <w:r>
        <w:rPr>
          <w:b/>
          <w:bCs/>
        </w:rPr>
        <w:t>Completed RFPQ response forms / appendices</w:t>
      </w:r>
      <w:r>
        <w:t xml:space="preserve"> (firm profile, signed submission form, addendum acknowledgement, declarations).</w:t>
      </w:r>
    </w:p>
    <w:p w14:paraId="1CFB708A" w14:textId="77777777" w:rsidR="008A732C" w:rsidRDefault="00FE1D4E">
      <w:pPr>
        <w:pStyle w:val="Compact"/>
        <w:numPr>
          <w:ilvl w:val="0"/>
          <w:numId w:val="14"/>
        </w:numPr>
      </w:pPr>
      <w:r>
        <w:rPr>
          <w:b/>
          <w:bCs/>
        </w:rPr>
        <w:t>EGBC standing</w:t>
      </w:r>
      <w:r>
        <w:t xml:space="preserve"> — proof KOR is an EGBC-licensed firm / </w:t>
      </w:r>
      <w:r>
        <w:rPr>
          <w:b/>
          <w:bCs/>
        </w:rPr>
        <w:t>EGBC Accredited Employer</w:t>
      </w:r>
      <w:r>
        <w:t xml:space="preserve"> (since Jul 2023), plus a list of KOR’s </w:t>
      </w:r>
      <w:r>
        <w:rPr>
          <w:b/>
          <w:bCs/>
        </w:rPr>
        <w:t>registered structural P.Eng. staff</w:t>
      </w:r>
      <w:r>
        <w:t>. (EGBC licensure is the qualifying gate.)</w:t>
      </w:r>
    </w:p>
    <w:p w14:paraId="751911D5" w14:textId="77777777" w:rsidR="008A732C" w:rsidRDefault="00FE1D4E">
      <w:pPr>
        <w:pStyle w:val="Compact"/>
        <w:numPr>
          <w:ilvl w:val="0"/>
          <w:numId w:val="15"/>
        </w:numPr>
      </w:pPr>
      <w:r>
        <w:rPr>
          <w:b/>
          <w:bCs/>
        </w:rPr>
        <w:t>Key-personnel resumes</w:t>
      </w:r>
      <w:r>
        <w:t xml:space="preserve"> — principals + structural P.Eng leads; foreground </w:t>
      </w:r>
      <w:r>
        <w:rPr>
          <w:b/>
          <w:bCs/>
        </w:rPr>
        <w:t>seismic / high-importance / post-disaster</w:t>
      </w:r>
      <w:r>
        <w:t xml:space="preserve"> experience and BCBC-2024 fluency.</w:t>
      </w:r>
    </w:p>
    <w:p w14:paraId="5DCDFEF4" w14:textId="77777777" w:rsidR="008A732C" w:rsidRDefault="00FE1D4E">
      <w:pPr>
        <w:pStyle w:val="Compact"/>
        <w:numPr>
          <w:ilvl w:val="0"/>
          <w:numId w:val="16"/>
        </w:numPr>
      </w:pPr>
      <w:r>
        <w:rPr>
          <w:b/>
          <w:bCs/>
        </w:rPr>
        <w:t>Structural project references</w:t>
      </w:r>
      <w:r>
        <w:t xml:space="preserve"> — discipline-specific; expect a fixed number (commonly 3–5). Per reference: project name, owner/client, location, KOR’s role (SEoR), </w:t>
      </w:r>
      <w:r>
        <w:rPr>
          <w:b/>
          <w:bCs/>
        </w:rPr>
        <w:t>construction value + KOR’s allocated structural fee</w:t>
      </w:r>
      <w:r>
        <w:t xml:space="preserve">, completion date, reference contact (name/email/phone), and the </w:t>
      </w:r>
      <w:r>
        <w:rPr>
          <w:b/>
          <w:bCs/>
        </w:rPr>
        <w:t>care-type + fee band</w:t>
      </w:r>
      <w:r>
        <w:t xml:space="preserve"> it supports.</w:t>
      </w:r>
    </w:p>
    <w:p w14:paraId="42BACA1B" w14:textId="77777777" w:rsidR="008A732C" w:rsidRDefault="00FE1D4E">
      <w:pPr>
        <w:pStyle w:val="Compact"/>
        <w:numPr>
          <w:ilvl w:val="0"/>
          <w:numId w:val="17"/>
        </w:numPr>
      </w:pPr>
      <w:r>
        <w:rPr>
          <w:b/>
          <w:bCs/>
        </w:rPr>
        <w:t>Insurance</w:t>
      </w:r>
      <w:r>
        <w:t xml:space="preserve"> — Professional Liability (E&amp;O) + Commercial General Liability; Certificate of Insurance or confirmation KOR can carry the required limits.</w:t>
      </w:r>
    </w:p>
    <w:p w14:paraId="12E84421" w14:textId="77777777" w:rsidR="008A732C" w:rsidRDefault="00FE1D4E">
      <w:pPr>
        <w:pStyle w:val="Compact"/>
        <w:numPr>
          <w:ilvl w:val="0"/>
          <w:numId w:val="18"/>
        </w:numPr>
      </w:pPr>
      <w:r>
        <w:rPr>
          <w:b/>
          <w:bCs/>
        </w:rPr>
        <w:t>WorkSafeBC</w:t>
      </w:r>
      <w:r>
        <w:t xml:space="preserve"> clearance letter + any OHS/safety program statement.</w:t>
      </w:r>
    </w:p>
    <w:p w14:paraId="738A630D" w14:textId="77777777" w:rsidR="008A732C" w:rsidRDefault="00FE1D4E">
      <w:pPr>
        <w:pStyle w:val="Compact"/>
        <w:numPr>
          <w:ilvl w:val="0"/>
          <w:numId w:val="19"/>
        </w:numPr>
      </w:pPr>
      <w:r>
        <w:rPr>
          <w:b/>
          <w:bCs/>
        </w:rPr>
        <w:t>Business licence</w:t>
      </w:r>
      <w:r>
        <w:t xml:space="preserve"> / corporate registration.</w:t>
      </w:r>
    </w:p>
    <w:p w14:paraId="1F06EB5A" w14:textId="77777777" w:rsidR="008A732C" w:rsidRDefault="00FE1D4E">
      <w:pPr>
        <w:pStyle w:val="Compact"/>
        <w:numPr>
          <w:ilvl w:val="0"/>
          <w:numId w:val="20"/>
        </w:numPr>
      </w:pPr>
      <w:r>
        <w:rPr>
          <w:b/>
          <w:bCs/>
        </w:rPr>
        <w:t>Conflict-of-interest / declarations</w:t>
      </w:r>
      <w:r>
        <w:t xml:space="preserve"> as required by the package.</w:t>
      </w:r>
    </w:p>
    <w:p w14:paraId="677F9876" w14:textId="77777777" w:rsidR="008A732C" w:rsidRDefault="00FE1D4E">
      <w:pPr>
        <w:pStyle w:val="Compact"/>
        <w:numPr>
          <w:ilvl w:val="0"/>
          <w:numId w:val="21"/>
        </w:numPr>
      </w:pPr>
      <w:r>
        <w:rPr>
          <w:b/>
          <w:bCs/>
        </w:rPr>
        <w:t>Rated questionnaire responses</w:t>
      </w:r>
      <w:r>
        <w:t xml:space="preserve"> (experience, capacity, QA/QMS, references) if the package includes a scored questionnaire.</w:t>
      </w:r>
    </w:p>
    <w:p w14:paraId="2508CC9F" w14:textId="77777777" w:rsidR="008A732C" w:rsidRDefault="00FE1D4E" w:rsidP="00634BB9">
      <w:pPr>
        <w:pStyle w:val="Heading2"/>
        <w:pageBreakBefore/>
      </w:pPr>
      <w:bookmarkStart w:id="6" w:name="Xd53dc9739808c66f9c9181ea3ca5c49f9e7ade5"/>
      <w:bookmarkEnd w:id="5"/>
      <w:r>
        <w:lastRenderedPageBreak/>
        <w:t>Phase 3 — Submit early (target: within ~2 weeks, well before 30 Sept)</w:t>
      </w:r>
    </w:p>
    <w:p w14:paraId="5D9EBCDD" w14:textId="77777777" w:rsidR="008A732C" w:rsidRDefault="00FE1D4E">
      <w:pPr>
        <w:pStyle w:val="Compact"/>
        <w:numPr>
          <w:ilvl w:val="0"/>
          <w:numId w:val="22"/>
        </w:numPr>
      </w:pPr>
      <w:r>
        <w:t xml:space="preserve">Upload each required file to its </w:t>
      </w:r>
      <w:r>
        <w:rPr>
          <w:b/>
          <w:bCs/>
        </w:rPr>
        <w:t>correct Bonfire slot</w:t>
      </w:r>
      <w:r>
        <w:t xml:space="preserve"> (one Structural submission). Bonfire rejects a submission with empty mandatory slots.</w:t>
      </w:r>
    </w:p>
    <w:p w14:paraId="2DC0409B" w14:textId="77777777" w:rsidR="008A732C" w:rsidRDefault="00FE1D4E">
      <w:pPr>
        <w:pStyle w:val="Compact"/>
        <w:numPr>
          <w:ilvl w:val="0"/>
          <w:numId w:val="23"/>
        </w:numPr>
      </w:pPr>
      <w:r>
        <w:t xml:space="preserve">Check </w:t>
      </w:r>
      <w:r>
        <w:rPr>
          <w:b/>
          <w:bCs/>
        </w:rPr>
        <w:t>file format / size limits</w:t>
      </w:r>
      <w:r>
        <w:t xml:space="preserve"> Bonfire enforces per slot.</w:t>
      </w:r>
    </w:p>
    <w:p w14:paraId="437B3760" w14:textId="77777777" w:rsidR="008A732C" w:rsidRDefault="00FE1D4E">
      <w:pPr>
        <w:pStyle w:val="Compact"/>
        <w:numPr>
          <w:ilvl w:val="0"/>
          <w:numId w:val="24"/>
        </w:numPr>
      </w:pPr>
      <w:r>
        <w:rPr>
          <w:b/>
          <w:bCs/>
        </w:rPr>
        <w:t>Submit</w:t>
      </w:r>
      <w:r>
        <w:t xml:space="preserve"> and capture the Bonfire </w:t>
      </w:r>
      <w:r>
        <w:rPr>
          <w:b/>
          <w:bCs/>
        </w:rPr>
        <w:t>confirmation</w:t>
      </w:r>
      <w:r>
        <w:t xml:space="preserve"> (screenshot + email). Keep it on file.</w:t>
      </w:r>
    </w:p>
    <w:p w14:paraId="69083923" w14:textId="77777777" w:rsidR="008A732C" w:rsidRDefault="00FE1D4E">
      <w:pPr>
        <w:pStyle w:val="Compact"/>
        <w:numPr>
          <w:ilvl w:val="0"/>
          <w:numId w:val="25"/>
        </w:numPr>
      </w:pPr>
      <w:r>
        <w:t xml:space="preserve">Because evaluation is ongoing and the close can move up, </w:t>
      </w:r>
      <w:r>
        <w:rPr>
          <w:b/>
          <w:bCs/>
        </w:rPr>
        <w:t>do not sit on a near-complete package</w:t>
      </w:r>
      <w:r>
        <w:t xml:space="preserve"> — submit as soon as Phase 2 is clean.</w:t>
      </w:r>
    </w:p>
    <w:p w14:paraId="7B84D6B1" w14:textId="77777777" w:rsidR="008A732C" w:rsidRDefault="00FE1D4E" w:rsidP="00634BB9">
      <w:pPr>
        <w:pStyle w:val="Heading2"/>
        <w:pageBreakBefore/>
      </w:pPr>
      <w:bookmarkStart w:id="7" w:name="phase-4-after-submission"/>
      <w:bookmarkEnd w:id="6"/>
      <w:r>
        <w:t>Phase 4 — After submission</w:t>
      </w:r>
    </w:p>
    <w:p w14:paraId="322D427B" w14:textId="77777777" w:rsidR="008A732C" w:rsidRDefault="00FE1D4E">
      <w:pPr>
        <w:pStyle w:val="Compact"/>
        <w:numPr>
          <w:ilvl w:val="0"/>
          <w:numId w:val="26"/>
        </w:numPr>
      </w:pPr>
      <w:r>
        <w:t xml:space="preserve">Watch the Bonfire inbox + the registered email for </w:t>
      </w:r>
      <w:r>
        <w:rPr>
          <w:b/>
          <w:bCs/>
        </w:rPr>
        <w:t>clarification requests</w:t>
      </w:r>
      <w:r>
        <w:t xml:space="preserve"> — respond fast (rolling evaluation rewards responsiveness).</w:t>
      </w:r>
    </w:p>
    <w:p w14:paraId="0D5C3E08" w14:textId="77777777" w:rsidR="008A732C" w:rsidRDefault="00FE1D4E">
      <w:pPr>
        <w:pStyle w:val="Compact"/>
        <w:numPr>
          <w:ilvl w:val="0"/>
          <w:numId w:val="27"/>
        </w:numPr>
      </w:pPr>
      <w:r>
        <w:t xml:space="preserve">On qualification, KOR appears on the next refreshed </w:t>
      </w:r>
      <w:r>
        <w:rPr>
          <w:b/>
          <w:bCs/>
        </w:rPr>
        <w:t>Pre-Qualified Professional Engineers</w:t>
      </w:r>
      <w:r>
        <w:t xml:space="preserve"> </w:t>
      </w:r>
      <w:r>
        <w:t>list at the cells awarded — then KOR is invited to LMFM/VCH tenders + proposal calls in those cells.</w:t>
      </w:r>
    </w:p>
    <w:p w14:paraId="26C4681D" w14:textId="77777777" w:rsidR="008A732C" w:rsidRDefault="00FE1D4E">
      <w:r>
        <w:pict w14:anchorId="21F2486F">
          <v:rect id="_x0000_i1026" style="width:0;height:1.5pt" o:hralign="center" o:hrstd="t" o:hr="t"/>
        </w:pict>
      </w:r>
    </w:p>
    <w:p w14:paraId="57DAE4A5" w14:textId="77777777" w:rsidR="008A732C" w:rsidRDefault="00FE1D4E" w:rsidP="00634BB9">
      <w:pPr>
        <w:pStyle w:val="Heading2"/>
        <w:pageBreakBefore/>
      </w:pPr>
      <w:bookmarkStart w:id="8" w:name="watch-outs"/>
      <w:bookmarkEnd w:id="7"/>
      <w:r>
        <w:t>Watch-outs</w:t>
      </w:r>
    </w:p>
    <w:p w14:paraId="03826C0E" w14:textId="77777777" w:rsidR="008A732C" w:rsidRDefault="00FE1D4E">
      <w:pPr>
        <w:pStyle w:val="Compact"/>
        <w:numPr>
          <w:ilvl w:val="0"/>
          <w:numId w:val="28"/>
        </w:numPr>
      </w:pPr>
      <w:r>
        <w:rPr>
          <w:b/>
          <w:bCs/>
        </w:rPr>
        <w:t>Submit early</w:t>
      </w:r>
      <w:r>
        <w:t xml:space="preserve"> — “Open and Ongoing” + a movable close date means waiting is the main risk.</w:t>
      </w:r>
    </w:p>
    <w:p w14:paraId="3D780DF5" w14:textId="77777777" w:rsidR="008A732C" w:rsidRDefault="00FE1D4E">
      <w:pPr>
        <w:pStyle w:val="Compact"/>
        <w:numPr>
          <w:ilvl w:val="0"/>
          <w:numId w:val="28"/>
        </w:numPr>
      </w:pPr>
      <w:r>
        <w:rPr>
          <w:b/>
          <w:bCs/>
        </w:rPr>
        <w:t>Don’t over-claim cells</w:t>
      </w:r>
      <w:r>
        <w:t xml:space="preserve"> — every Acute/band claim must be backed by a reference.</w:t>
      </w:r>
    </w:p>
    <w:p w14:paraId="41BC44AC" w14:textId="77777777" w:rsidR="008A732C" w:rsidRDefault="00FE1D4E">
      <w:pPr>
        <w:pStyle w:val="Compact"/>
        <w:numPr>
          <w:ilvl w:val="0"/>
          <w:numId w:val="28"/>
        </w:numPr>
      </w:pPr>
      <w:r>
        <w:rPr>
          <w:b/>
          <w:bCs/>
        </w:rPr>
        <w:t>Allocate structural fees</w:t>
      </w:r>
      <w:r>
        <w:t xml:space="preserve"> on multi-discipline references — FMP flagged this explicitly.</w:t>
      </w:r>
    </w:p>
    <w:p w14:paraId="6EA35E10" w14:textId="77777777" w:rsidR="008A732C" w:rsidRDefault="00FE1D4E">
      <w:pPr>
        <w:pStyle w:val="Compact"/>
        <w:numPr>
          <w:ilvl w:val="0"/>
          <w:numId w:val="28"/>
        </w:numPr>
      </w:pPr>
      <w:r>
        <w:rPr>
          <w:b/>
          <w:bCs/>
        </w:rPr>
        <w:t>Warn your reference contacts</w:t>
      </w:r>
      <w:r>
        <w:t xml:space="preserve"> they may be called by the evaluation committee.</w:t>
      </w:r>
    </w:p>
    <w:p w14:paraId="0C5C7504" w14:textId="77777777" w:rsidR="008A732C" w:rsidRDefault="00FE1D4E">
      <w:pPr>
        <w:pStyle w:val="Compact"/>
        <w:numPr>
          <w:ilvl w:val="0"/>
          <w:numId w:val="28"/>
        </w:numPr>
      </w:pPr>
      <w:r>
        <w:rPr>
          <w:b/>
          <w:bCs/>
        </w:rPr>
        <w:t>Use a shared/durable email</w:t>
      </w:r>
      <w:r>
        <w:t xml:space="preserve"> for the Bonfire account so addendum / early-close notices aren’t missed.</w:t>
      </w:r>
    </w:p>
    <w:p w14:paraId="5201CED4" w14:textId="77777777" w:rsidR="008A732C" w:rsidRDefault="00FE1D4E" w:rsidP="00634BB9">
      <w:pPr>
        <w:pStyle w:val="Heading2"/>
        <w:pageBreakBefore/>
      </w:pPr>
      <w:bookmarkStart w:id="9" w:name="contact"/>
      <w:bookmarkEnd w:id="8"/>
      <w:r>
        <w:t>Contact</w:t>
      </w:r>
    </w:p>
    <w:p w14:paraId="2A687395" w14:textId="77777777" w:rsidR="008A732C" w:rsidRDefault="00FE1D4E">
      <w:pPr>
        <w:pStyle w:val="FirstParagraph"/>
      </w:pPr>
      <w:r>
        <w:t xml:space="preserve">Facilities Management Procurement (FMP) — </w:t>
      </w:r>
      <w:r>
        <w:rPr>
          <w:b/>
          <w:bCs/>
        </w:rPr>
        <w:t>FMP@fraserhealth.ca</w:t>
      </w:r>
      <w:r>
        <w:t xml:space="preserve"> (the shared LMFM desk acting for FHA / PHC / PHSA / VCH).</w:t>
      </w:r>
    </w:p>
    <w:p w14:paraId="0426E96F" w14:textId="77777777" w:rsidR="008A732C" w:rsidRDefault="00FE1D4E">
      <w:pPr>
        <w:pStyle w:val="BodyText"/>
      </w:pPr>
      <w:r>
        <w:rPr>
          <w:i/>
          <w:iCs/>
        </w:rPr>
        <w:t>Companion docs: KOR-VCH-Prequalification-Briefing-2026-06-24 (why this matters) · KOR-VCH-Deep-Analysis-2026-06-23 (VCH pursuit strategy).</w:t>
      </w:r>
      <w:bookmarkEnd w:id="0"/>
      <w:bookmarkEnd w:id="9"/>
    </w:p>
    <w:sectPr w:rsidR="008A732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24E6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AF635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50CA8E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B7CA7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2915041">
    <w:abstractNumId w:val="0"/>
  </w:num>
  <w:num w:numId="2" w16cid:durableId="31341986">
    <w:abstractNumId w:val="1"/>
  </w:num>
  <w:num w:numId="3" w16cid:durableId="7192082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4660864">
    <w:abstractNumId w:val="2"/>
  </w:num>
  <w:num w:numId="5" w16cid:durableId="1699701761">
    <w:abstractNumId w:val="2"/>
  </w:num>
  <w:num w:numId="6" w16cid:durableId="503130567">
    <w:abstractNumId w:val="2"/>
  </w:num>
  <w:num w:numId="7" w16cid:durableId="1697196614">
    <w:abstractNumId w:val="2"/>
  </w:num>
  <w:num w:numId="8" w16cid:durableId="1977831838">
    <w:abstractNumId w:val="2"/>
  </w:num>
  <w:num w:numId="9" w16cid:durableId="1651978984">
    <w:abstractNumId w:val="2"/>
  </w:num>
  <w:num w:numId="10" w16cid:durableId="821774884">
    <w:abstractNumId w:val="2"/>
  </w:num>
  <w:num w:numId="11" w16cid:durableId="1629318991">
    <w:abstractNumId w:val="1"/>
  </w:num>
  <w:num w:numId="12" w16cid:durableId="1428115115">
    <w:abstractNumId w:val="2"/>
  </w:num>
  <w:num w:numId="13" w16cid:durableId="861014128">
    <w:abstractNumId w:val="2"/>
  </w:num>
  <w:num w:numId="14" w16cid:durableId="993534106">
    <w:abstractNumId w:val="2"/>
  </w:num>
  <w:num w:numId="15" w16cid:durableId="229778316">
    <w:abstractNumId w:val="2"/>
  </w:num>
  <w:num w:numId="16" w16cid:durableId="305014806">
    <w:abstractNumId w:val="2"/>
  </w:num>
  <w:num w:numId="17" w16cid:durableId="1077509745">
    <w:abstractNumId w:val="2"/>
  </w:num>
  <w:num w:numId="18" w16cid:durableId="1941834270">
    <w:abstractNumId w:val="2"/>
  </w:num>
  <w:num w:numId="19" w16cid:durableId="258607930">
    <w:abstractNumId w:val="2"/>
  </w:num>
  <w:num w:numId="20" w16cid:durableId="1271548433">
    <w:abstractNumId w:val="2"/>
  </w:num>
  <w:num w:numId="21" w16cid:durableId="729499062">
    <w:abstractNumId w:val="2"/>
  </w:num>
  <w:num w:numId="22" w16cid:durableId="1815443465">
    <w:abstractNumId w:val="2"/>
  </w:num>
  <w:num w:numId="23" w16cid:durableId="1055467526">
    <w:abstractNumId w:val="2"/>
  </w:num>
  <w:num w:numId="24" w16cid:durableId="2119177279">
    <w:abstractNumId w:val="2"/>
  </w:num>
  <w:num w:numId="25" w16cid:durableId="937103502">
    <w:abstractNumId w:val="2"/>
  </w:num>
  <w:num w:numId="26" w16cid:durableId="259603851">
    <w:abstractNumId w:val="2"/>
  </w:num>
  <w:num w:numId="27" w16cid:durableId="254483409">
    <w:abstractNumId w:val="2"/>
  </w:num>
  <w:num w:numId="28" w16cid:durableId="1286347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32C"/>
    <w:rsid w:val="0043207E"/>
    <w:rsid w:val="00634BB9"/>
    <w:rsid w:val="008A732C"/>
    <w:rsid w:val="00FE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DCAE"/>
  <w15:docId w15:val="{F9AD195C-8DB8-48B8-889E-AA30E0BB2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2026-06-24T22:01:00Z</dcterms:created>
  <dcterms:modified xsi:type="dcterms:W3CDTF">2026-06-24T22:01:00Z</dcterms:modified>
</cp:coreProperties>
</file>