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B2FE" w14:textId="77777777" w:rsidR="00C86F02" w:rsidRDefault="00495E05">
      <w:pPr>
        <w:pStyle w:val="Heading1"/>
      </w:pPr>
      <w:bookmarkStart w:id="0" w:name="Xed06a009643c624af16207b5607058f35b6a284"/>
      <w:r>
        <w:t>Ledcor — Structural Engineering Opportunity Dossier</w:t>
      </w:r>
    </w:p>
    <w:p w14:paraId="234CADAA" w14:textId="77777777" w:rsidR="00C86F02" w:rsidRDefault="00495E05">
      <w:pPr>
        <w:pStyle w:val="FirstParagraph"/>
      </w:pPr>
      <w:r>
        <w:rPr>
          <w:b/>
          <w:bCs/>
        </w:rPr>
        <w:t>KOR Structural · Prepared 2026-07-01 · Every claim carries a source; anything unverified is labeled, and internal figures can be checked directly in Deltek</w:t>
      </w:r>
    </w:p>
    <w:p w14:paraId="4FAF221B" w14:textId="77777777" w:rsidR="00C86F02" w:rsidRDefault="00495E05">
      <w:pPr>
        <w:pStyle w:val="BodyText"/>
      </w:pPr>
      <w:r>
        <w:rPr>
          <w:b/>
          <w:bCs/>
        </w:rPr>
        <w:t>How to read this:</w:t>
      </w:r>
      <w:r>
        <w:t xml:space="preserve"> claims are </w:t>
      </w:r>
      <w:r>
        <w:rPr>
          <w:b/>
          <w:bCs/>
        </w:rPr>
        <w:t>[V]</w:t>
      </w:r>
      <w:r>
        <w:t xml:space="preserve"> (verified against a primary source — the URL is in the source list), </w:t>
      </w:r>
      <w:r>
        <w:rPr>
          <w:b/>
          <w:bCs/>
        </w:rPr>
        <w:t>[I]</w:t>
      </w:r>
      <w:r>
        <w:t xml:space="preserve"> (inferred — the basis is stated), or </w:t>
      </w:r>
      <w:r>
        <w:rPr>
          <w:b/>
          <w:bCs/>
        </w:rPr>
        <w:t>[KOR books]</w:t>
      </w:r>
      <w:r>
        <w:t xml:space="preserve"> </w:t>
      </w:r>
      <w:r>
        <w:t>(from KOR’s own Deltek/CRM records — check them yourself). Where the evidence is thin or negative, this document says so. Section 7 lists what we could NOT verify.</w:t>
      </w:r>
    </w:p>
    <w:p w14:paraId="0CBC4D5D" w14:textId="77777777" w:rsidR="00C86F02" w:rsidRDefault="00495E05">
      <w:r>
        <w:pict w14:anchorId="6DF6BB1C">
          <v:rect id="_x0000_i1025" style="width:0;height:1.5pt" o:hralign="center" o:hrstd="t" o:hr="t"/>
        </w:pict>
      </w:r>
    </w:p>
    <w:p w14:paraId="2EF09D50" w14:textId="77777777" w:rsidR="00C86F02" w:rsidRDefault="00495E05">
      <w:pPr>
        <w:pStyle w:val="Heading2"/>
      </w:pPr>
      <w:bookmarkStart w:id="1" w:name="executive-summary"/>
      <w:r>
        <w:t>1. Executive summary</w:t>
      </w:r>
    </w:p>
    <w:p w14:paraId="5FCFC633" w14:textId="77777777" w:rsidR="00C86F02" w:rsidRDefault="00495E05">
      <w:pPr>
        <w:pStyle w:val="Compact"/>
        <w:numPr>
          <w:ilvl w:val="0"/>
          <w:numId w:val="2"/>
        </w:numPr>
      </w:pPr>
      <w:r>
        <w:rPr>
          <w:b/>
          <w:bCs/>
        </w:rPr>
        <w:t>Ledcor is not a prospect — it is an active KOR client.</w:t>
      </w:r>
      <w:r>
        <w:t xml:space="preserve"> KOR has </w:t>
      </w:r>
      <w:r>
        <w:rPr>
          <w:b/>
          <w:bCs/>
        </w:rPr>
        <w:t>5 won fee proposals (~$560k) since April 2024</w:t>
      </w:r>
      <w:r>
        <w:t xml:space="preserve"> with the Ledcor family, the latest February 2026, plus ~$361k submitted and pending. [KOR books — Deltek statuses AP/STC]</w:t>
      </w:r>
    </w:p>
    <w:p w14:paraId="40F37EF3" w14:textId="77777777" w:rsidR="00C86F02" w:rsidRDefault="00495E05">
      <w:pPr>
        <w:pStyle w:val="Compact"/>
        <w:numPr>
          <w:ilvl w:val="0"/>
          <w:numId w:val="2"/>
        </w:numPr>
      </w:pPr>
      <w:r>
        <w:t xml:space="preserve">The relationship sits with </w:t>
      </w:r>
      <w:r>
        <w:rPr>
          <w:b/>
          <w:bCs/>
        </w:rPr>
        <w:t>Ledcor’s development arm</w:t>
      </w:r>
      <w:r>
        <w:t xml:space="preserve"> (Ledcor Property Investments — “LPI”</w:t>
      </w:r>
      <w:r>
        <w:t xml:space="preserve">), largely on the </w:t>
      </w:r>
      <w:r>
        <w:rPr>
          <w:b/>
          <w:bCs/>
        </w:rPr>
        <w:t>Telus Living rental program</w:t>
      </w:r>
      <w:r>
        <w:t xml:space="preserve"> in Vancouver. </w:t>
      </w:r>
      <w:r>
        <w:rPr>
          <w:b/>
          <w:bCs/>
        </w:rPr>
        <w:t>Three of its four rezonings were approved between Nov 2025 and May 2026</w:t>
      </w:r>
      <w:r>
        <w:t xml:space="preserve"> — structural design on that program is ramping </w:t>
      </w:r>
      <w:r>
        <w:rPr>
          <w:i/>
          <w:iCs/>
        </w:rPr>
        <w:t>now</w:t>
      </w:r>
      <w:r>
        <w:t>, and no structural engineer is publicly named on any of the four. [V]</w:t>
      </w:r>
    </w:p>
    <w:p w14:paraId="585A03BF" w14:textId="77777777" w:rsidR="00C86F02" w:rsidRDefault="00495E05">
      <w:pPr>
        <w:pStyle w:val="Compact"/>
        <w:numPr>
          <w:ilvl w:val="0"/>
          <w:numId w:val="2"/>
        </w:numPr>
      </w:pPr>
      <w:r>
        <w:rPr>
          <w:b/>
          <w:bCs/>
        </w:rPr>
        <w:t>Ledcor’s construction arm buys structural engineering only on design-build / early-contractor-involvement work</w:t>
      </w:r>
      <w:r>
        <w:t xml:space="preserve"> (~one flagship per cycle: BC Children’s Centre for Health Complexity, with Fast+Epp). On its ordinary GC/CM work the </w:t>
      </w:r>
      <w:r>
        <w:rPr>
          <w:i/>
          <w:iCs/>
        </w:rPr>
        <w:t>owner or architect</w:t>
      </w:r>
      <w:r>
        <w:t xml:space="preserve"> </w:t>
      </w:r>
      <w:r>
        <w:t xml:space="preserve">holds the structural seat. There is </w:t>
      </w:r>
      <w:r>
        <w:rPr>
          <w:b/>
          <w:bCs/>
        </w:rPr>
        <w:t>no prequalification roster — entry is relationship-based.</w:t>
      </w:r>
      <w:r>
        <w:t xml:space="preserve"> [V]</w:t>
      </w:r>
    </w:p>
    <w:p w14:paraId="104E9D91" w14:textId="77777777" w:rsidR="00C86F02" w:rsidRDefault="00495E05">
      <w:pPr>
        <w:pStyle w:val="Compact"/>
        <w:numPr>
          <w:ilvl w:val="0"/>
          <w:numId w:val="2"/>
        </w:numPr>
      </w:pPr>
      <w:r>
        <w:t xml:space="preserve">The expansion paths, in order of realism: </w:t>
      </w:r>
      <w:r>
        <w:rPr>
          <w:b/>
          <w:bCs/>
        </w:rPr>
        <w:t>(A)</w:t>
      </w:r>
      <w:r>
        <w:t xml:space="preserve"> close the pending Telus Living proposals and cover the full program; </w:t>
      </w:r>
      <w:r>
        <w:rPr>
          <w:b/>
          <w:bCs/>
        </w:rPr>
        <w:t>(B)</w:t>
      </w:r>
      <w:r>
        <w:t xml:space="preserve"> the design-build institutional lane via Ledcor’s preconstruction/BD people; </w:t>
      </w:r>
      <w:r>
        <w:rPr>
          <w:b/>
          <w:bCs/>
        </w:rPr>
        <w:t>(C)</w:t>
      </w:r>
      <w:r>
        <w:t xml:space="preserve"> Alberta — KOR’s own CRM already holds two open Alberta-region Ledcor engagements; </w:t>
      </w:r>
      <w:r>
        <w:rPr>
          <w:b/>
          <w:bCs/>
        </w:rPr>
        <w:t>(D)</w:t>
      </w:r>
      <w:r>
        <w:t xml:space="preserve"> mass-timber-adjacent institutional (differentiated from Fast+Epp, who hold the flagship).</w:t>
      </w:r>
    </w:p>
    <w:p w14:paraId="32FF7BB9" w14:textId="77777777" w:rsidR="00C86F02" w:rsidRDefault="00495E05">
      <w:pPr>
        <w:pStyle w:val="Compact"/>
        <w:numPr>
          <w:ilvl w:val="0"/>
          <w:numId w:val="2"/>
        </w:numPr>
      </w:pPr>
      <w:r>
        <w:t xml:space="preserve">This dossier includes an honest </w:t>
      </w:r>
      <w:r>
        <w:rPr>
          <w:b/>
          <w:bCs/>
        </w:rPr>
        <w:t>risk section</w:t>
      </w:r>
      <w:r>
        <w:t xml:space="preserve"> (a federal labour-board adverse finding, a 2025 court case, soft financial figures) — the case for Ledcor stands </w:t>
      </w:r>
      <w:r>
        <w:rPr>
          <w:i/>
          <w:iCs/>
        </w:rPr>
        <w:t>with</w:t>
      </w:r>
      <w:r>
        <w:t xml:space="preserve"> those facts on the table, not by omitting them.</w:t>
      </w:r>
    </w:p>
    <w:p w14:paraId="0E3A3CF4" w14:textId="77777777" w:rsidR="00C86F02" w:rsidRDefault="00495E05">
      <w:pPr>
        <w:pStyle w:val="Heading2"/>
      </w:pPr>
      <w:bookmarkStart w:id="2" w:name="Xda7dba8c097b65e7d87353625a5212fd05bbdbd"/>
      <w:bookmarkEnd w:id="1"/>
      <w:r>
        <w:t>2. What KOR’s own books show [KOR books — verifiable in Deltek]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610"/>
        <w:gridCol w:w="2610"/>
        <w:gridCol w:w="2610"/>
        <w:gridCol w:w="2610"/>
      </w:tblGrid>
      <w:tr w:rsidR="00C86F02" w:rsidRPr="0038245A" w14:paraId="75108E5D" w14:textId="77777777" w:rsidTr="00382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6B4120D3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Project</w:t>
            </w:r>
          </w:p>
        </w:tc>
        <w:tc>
          <w:tcPr>
            <w:tcW w:w="1250" w:type="pct"/>
          </w:tcPr>
          <w:p w14:paraId="3C9523BB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Status</w:t>
            </w:r>
          </w:p>
        </w:tc>
        <w:tc>
          <w:tcPr>
            <w:tcW w:w="1250" w:type="pct"/>
          </w:tcPr>
          <w:p w14:paraId="4088981F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Fee</w:t>
            </w:r>
          </w:p>
        </w:tc>
        <w:tc>
          <w:tcPr>
            <w:tcW w:w="1250" w:type="pct"/>
          </w:tcPr>
          <w:p w14:paraId="5340B946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Date</w:t>
            </w:r>
          </w:p>
        </w:tc>
      </w:tr>
      <w:tr w:rsidR="00C86F02" w:rsidRPr="0038245A" w14:paraId="325E6EAC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732811F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730 Raymur Ave, Vancouver</w:t>
            </w:r>
          </w:p>
        </w:tc>
        <w:tc>
          <w:tcPr>
            <w:tcW w:w="1250" w:type="pct"/>
          </w:tcPr>
          <w:p w14:paraId="0790352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Won</w:t>
            </w:r>
            <w:r w:rsidRPr="0038245A">
              <w:rPr>
                <w:sz w:val="17"/>
              </w:rPr>
              <w:t xml:space="preserve"> (AP)</w:t>
            </w:r>
          </w:p>
        </w:tc>
        <w:tc>
          <w:tcPr>
            <w:tcW w:w="1250" w:type="pct"/>
          </w:tcPr>
          <w:p w14:paraId="4253665E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$260,000</w:t>
            </w:r>
          </w:p>
        </w:tc>
        <w:tc>
          <w:tcPr>
            <w:tcW w:w="1250" w:type="pct"/>
          </w:tcPr>
          <w:p w14:paraId="148AF825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Jun 2025</w:t>
            </w:r>
          </w:p>
        </w:tc>
      </w:tr>
      <w:tr w:rsidR="00C86F02" w:rsidRPr="0038245A" w14:paraId="086EADB1" w14:textId="77777777" w:rsidTr="0038245A">
        <w:trPr>
          <w:cantSplit/>
        </w:trPr>
        <w:tc>
          <w:tcPr>
            <w:tcW w:w="1250" w:type="pct"/>
          </w:tcPr>
          <w:p w14:paraId="6BC87E0B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2212 W 10th Ave, Vancouver</w:t>
            </w:r>
          </w:p>
        </w:tc>
        <w:tc>
          <w:tcPr>
            <w:tcW w:w="1250" w:type="pct"/>
          </w:tcPr>
          <w:p w14:paraId="059869BB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Won</w:t>
            </w:r>
            <w:r w:rsidRPr="0038245A">
              <w:rPr>
                <w:sz w:val="17"/>
              </w:rPr>
              <w:t xml:space="preserve"> (AP)</w:t>
            </w:r>
          </w:p>
        </w:tc>
        <w:tc>
          <w:tcPr>
            <w:tcW w:w="1250" w:type="pct"/>
          </w:tcPr>
          <w:p w14:paraId="431CD69E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$130,000</w:t>
            </w:r>
          </w:p>
        </w:tc>
        <w:tc>
          <w:tcPr>
            <w:tcW w:w="1250" w:type="pct"/>
          </w:tcPr>
          <w:p w14:paraId="4462414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Apr 2024</w:t>
            </w:r>
          </w:p>
        </w:tc>
      </w:tr>
      <w:tr w:rsidR="00C86F02" w:rsidRPr="0038245A" w14:paraId="4B129304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90A0691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lastRenderedPageBreak/>
              <w:t>6486 Chester St, Vancouver</w:t>
            </w:r>
          </w:p>
        </w:tc>
        <w:tc>
          <w:tcPr>
            <w:tcW w:w="1250" w:type="pct"/>
          </w:tcPr>
          <w:p w14:paraId="30AAA30C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Won</w:t>
            </w:r>
            <w:r w:rsidRPr="0038245A">
              <w:rPr>
                <w:sz w:val="17"/>
              </w:rPr>
              <w:t xml:space="preserve"> (AP)</w:t>
            </w:r>
          </w:p>
        </w:tc>
        <w:tc>
          <w:tcPr>
            <w:tcW w:w="1250" w:type="pct"/>
          </w:tcPr>
          <w:p w14:paraId="1D3DC9F2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$75,000</w:t>
            </w:r>
          </w:p>
        </w:tc>
        <w:tc>
          <w:tcPr>
            <w:tcW w:w="1250" w:type="pct"/>
          </w:tcPr>
          <w:p w14:paraId="6679006F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Oct 2024</w:t>
            </w:r>
          </w:p>
        </w:tc>
      </w:tr>
      <w:tr w:rsidR="00C86F02" w:rsidRPr="0038245A" w14:paraId="4109765A" w14:textId="77777777" w:rsidTr="0038245A">
        <w:trPr>
          <w:cantSplit/>
        </w:trPr>
        <w:tc>
          <w:tcPr>
            <w:tcW w:w="1250" w:type="pct"/>
          </w:tcPr>
          <w:p w14:paraId="229EE17D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14780 North Bluff Rd, White Rock</w:t>
            </w:r>
          </w:p>
        </w:tc>
        <w:tc>
          <w:tcPr>
            <w:tcW w:w="1250" w:type="pct"/>
          </w:tcPr>
          <w:p w14:paraId="443D3481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Won</w:t>
            </w:r>
            <w:r w:rsidRPr="0038245A">
              <w:rPr>
                <w:sz w:val="17"/>
              </w:rPr>
              <w:t xml:space="preserve"> (AP)</w:t>
            </w:r>
          </w:p>
        </w:tc>
        <w:tc>
          <w:tcPr>
            <w:tcW w:w="1250" w:type="pct"/>
          </w:tcPr>
          <w:p w14:paraId="7B140643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$55,000</w:t>
            </w:r>
          </w:p>
        </w:tc>
        <w:tc>
          <w:tcPr>
            <w:tcW w:w="1250" w:type="pct"/>
          </w:tcPr>
          <w:p w14:paraId="4A412A88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Feb 2026</w:t>
            </w:r>
          </w:p>
        </w:tc>
      </w:tr>
      <w:tr w:rsidR="00C86F02" w:rsidRPr="0038245A" w14:paraId="263120F0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230E3775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Telus Co Building W 10th, Vancouver</w:t>
            </w:r>
          </w:p>
        </w:tc>
        <w:tc>
          <w:tcPr>
            <w:tcW w:w="1250" w:type="pct"/>
          </w:tcPr>
          <w:p w14:paraId="73725865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Won</w:t>
            </w:r>
            <w:r w:rsidRPr="0038245A">
              <w:rPr>
                <w:sz w:val="17"/>
              </w:rPr>
              <w:t xml:space="preserve"> (AP)</w:t>
            </w:r>
          </w:p>
        </w:tc>
        <w:tc>
          <w:tcPr>
            <w:tcW w:w="1250" w:type="pct"/>
          </w:tcPr>
          <w:p w14:paraId="04B6132E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$40,000</w:t>
            </w:r>
          </w:p>
        </w:tc>
        <w:tc>
          <w:tcPr>
            <w:tcW w:w="1250" w:type="pct"/>
          </w:tcPr>
          <w:p w14:paraId="580A822F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Jul 2025</w:t>
            </w:r>
          </w:p>
        </w:tc>
      </w:tr>
      <w:tr w:rsidR="00C86F02" w:rsidRPr="0038245A" w14:paraId="5B5E7A1C" w14:textId="77777777" w:rsidTr="0038245A">
        <w:trPr>
          <w:cantSplit/>
        </w:trPr>
        <w:tc>
          <w:tcPr>
            <w:tcW w:w="1250" w:type="pct"/>
          </w:tcPr>
          <w:p w14:paraId="45C96530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Trinity 354 E 10th Ave</w:t>
            </w:r>
          </w:p>
        </w:tc>
        <w:tc>
          <w:tcPr>
            <w:tcW w:w="1250" w:type="pct"/>
          </w:tcPr>
          <w:p w14:paraId="5A3BBFA6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Submitted (STC)</w:t>
            </w:r>
          </w:p>
        </w:tc>
        <w:tc>
          <w:tcPr>
            <w:tcW w:w="1250" w:type="pct"/>
          </w:tcPr>
          <w:p w14:paraId="41341BA5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$175,000</w:t>
            </w:r>
          </w:p>
        </w:tc>
        <w:tc>
          <w:tcPr>
            <w:tcW w:w="1250" w:type="pct"/>
          </w:tcPr>
          <w:p w14:paraId="071568B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pending</w:t>
            </w:r>
          </w:p>
        </w:tc>
      </w:tr>
      <w:tr w:rsidR="00C86F02" w:rsidRPr="0038245A" w14:paraId="6A8139B8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527F714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Hemlock Kingsway</w:t>
            </w:r>
          </w:p>
        </w:tc>
        <w:tc>
          <w:tcPr>
            <w:tcW w:w="1250" w:type="pct"/>
          </w:tcPr>
          <w:p w14:paraId="7E292985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Submitted (STC)</w:t>
            </w:r>
          </w:p>
        </w:tc>
        <w:tc>
          <w:tcPr>
            <w:tcW w:w="1250" w:type="pct"/>
          </w:tcPr>
          <w:p w14:paraId="0C2AE222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$125,000</w:t>
            </w:r>
          </w:p>
        </w:tc>
        <w:tc>
          <w:tcPr>
            <w:tcW w:w="1250" w:type="pct"/>
          </w:tcPr>
          <w:p w14:paraId="6431EDEB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pending</w:t>
            </w:r>
          </w:p>
        </w:tc>
      </w:tr>
      <w:tr w:rsidR="00C86F02" w:rsidRPr="0038245A" w14:paraId="4353CAA1" w14:textId="77777777" w:rsidTr="0038245A">
        <w:trPr>
          <w:cantSplit/>
        </w:trPr>
        <w:tc>
          <w:tcPr>
            <w:tcW w:w="1250" w:type="pct"/>
          </w:tcPr>
          <w:p w14:paraId="7A90308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Steveston No 2 Rd, Richmond</w:t>
            </w:r>
          </w:p>
        </w:tc>
        <w:tc>
          <w:tcPr>
            <w:tcW w:w="1250" w:type="pct"/>
          </w:tcPr>
          <w:p w14:paraId="08A22EA5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Submitted (STC)</w:t>
            </w:r>
          </w:p>
        </w:tc>
        <w:tc>
          <w:tcPr>
            <w:tcW w:w="1250" w:type="pct"/>
          </w:tcPr>
          <w:p w14:paraId="50E418A0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$61,000</w:t>
            </w:r>
          </w:p>
        </w:tc>
        <w:tc>
          <w:tcPr>
            <w:tcW w:w="1250" w:type="pct"/>
          </w:tcPr>
          <w:p w14:paraId="5991A42A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pending</w:t>
            </w:r>
          </w:p>
        </w:tc>
      </w:tr>
      <w:tr w:rsidR="00C86F02" w:rsidRPr="0038245A" w14:paraId="04FBA179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091677F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Deep Cove North Vancouver; Trinity Triangle E 10th</w:t>
            </w:r>
          </w:p>
        </w:tc>
        <w:tc>
          <w:tcPr>
            <w:tcW w:w="1250" w:type="pct"/>
          </w:tcPr>
          <w:p w14:paraId="653C20EA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Pursuing</w:t>
            </w:r>
          </w:p>
        </w:tc>
        <w:tc>
          <w:tcPr>
            <w:tcW w:w="1250" w:type="pct"/>
          </w:tcPr>
          <w:p w14:paraId="4EC7B089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—</w:t>
            </w:r>
          </w:p>
        </w:tc>
        <w:tc>
          <w:tcPr>
            <w:tcW w:w="1250" w:type="pct"/>
          </w:tcPr>
          <w:p w14:paraId="5DCC62EA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—</w:t>
            </w:r>
          </w:p>
        </w:tc>
      </w:tr>
    </w:tbl>
    <w:p w14:paraId="446E591A" w14:textId="77777777" w:rsidR="00C86F02" w:rsidRDefault="00495E05">
      <w:pPr>
        <w:pStyle w:val="Compact"/>
        <w:numPr>
          <w:ilvl w:val="0"/>
          <w:numId w:val="3"/>
        </w:numPr>
      </w:pPr>
      <w:r>
        <w:t xml:space="preserve">Buyer of record: </w:t>
      </w:r>
      <w:r>
        <w:rPr>
          <w:b/>
          <w:bCs/>
        </w:rPr>
        <w:t>Ledcor Property Investments Ltd.</w:t>
      </w:r>
      <w:r>
        <w:t xml:space="preserve"> (18 of 20 pursuit records) and TELUS-c/o-Ledcor (2). Ledcor Construction Ltd. is also a Deltek client (</w:t>
      </w:r>
      <w:r>
        <w:rPr>
          <w:b/>
          <w:bCs/>
        </w:rPr>
        <w:t>CL00238</w:t>
      </w:r>
      <w:r>
        <w:t>), but the pursuit thread there is thin — that’s the expansion gap, not the base.</w:t>
      </w:r>
    </w:p>
    <w:p w14:paraId="585D127C" w14:textId="77777777" w:rsidR="00C86F02" w:rsidRDefault="00495E05">
      <w:pPr>
        <w:pStyle w:val="Compact"/>
        <w:numPr>
          <w:ilvl w:val="0"/>
          <w:numId w:val="3"/>
        </w:numPr>
      </w:pPr>
      <w:r>
        <w:t xml:space="preserve">KOR’s CRM also holds </w:t>
      </w:r>
      <w:r>
        <w:rPr>
          <w:b/>
          <w:bCs/>
        </w:rPr>
        <w:t>two open Alberta-region Ledcor engagements</w:t>
      </w:r>
      <w:r>
        <w:t xml:space="preserve"> (early-stage, owners on file). The Alberta angle is already open in our own system.</w:t>
      </w:r>
    </w:p>
    <w:p w14:paraId="059B094D" w14:textId="77777777" w:rsidR="00C86F02" w:rsidRDefault="00495E05">
      <w:pPr>
        <w:pStyle w:val="Compact"/>
        <w:numPr>
          <w:ilvl w:val="0"/>
          <w:numId w:val="3"/>
        </w:numPr>
      </w:pPr>
      <w:r>
        <w:rPr>
          <w:i/>
          <w:iCs/>
        </w:rPr>
        <w:t>Data note:</w:t>
      </w:r>
      <w:r>
        <w:t xml:space="preserve"> the pursuit list contains Deltek sync duplicates (same project at several stages). The table above aggregates per project using the Deltek status codes (AP = accepted, STC = submitted) as the source of truth.</w:t>
      </w:r>
    </w:p>
    <w:p w14:paraId="27C071D1" w14:textId="77777777" w:rsidR="00C86F02" w:rsidRDefault="00495E05">
      <w:pPr>
        <w:pStyle w:val="Heading2"/>
      </w:pPr>
      <w:bookmarkStart w:id="3" w:name="who-ledcor-is-v-unless-noted"/>
      <w:bookmarkEnd w:id="2"/>
      <w:r>
        <w:t>3. Who Ledcor is [V unless noted]</w:t>
      </w:r>
    </w:p>
    <w:p w14:paraId="1CDB2429" w14:textId="77777777" w:rsidR="00C86F02" w:rsidRDefault="00495E05">
      <w:pPr>
        <w:pStyle w:val="Compact"/>
        <w:numPr>
          <w:ilvl w:val="0"/>
          <w:numId w:val="4"/>
        </w:numPr>
      </w:pPr>
      <w:r>
        <w:rPr>
          <w:b/>
          <w:bCs/>
        </w:rPr>
        <w:t>Private, family-owned group</w:t>
      </w:r>
      <w:r>
        <w:t xml:space="preserve">, founded 1947 in Leduc, AB by Bill Lede. Head offices: </w:t>
      </w:r>
      <w:r>
        <w:rPr>
          <w:b/>
          <w:bCs/>
        </w:rPr>
        <w:t>Vancouver</w:t>
      </w:r>
      <w:r>
        <w:t xml:space="preserve"> (1055 W Hastings) and San Diego (US). Edmonton is a branch office — the old “dual-HQ” description is outdated.</w:t>
      </w:r>
    </w:p>
    <w:p w14:paraId="1E070C71" w14:textId="77777777" w:rsidR="00C86F02" w:rsidRDefault="00495E05">
      <w:pPr>
        <w:pStyle w:val="Compact"/>
        <w:numPr>
          <w:ilvl w:val="0"/>
          <w:numId w:val="4"/>
        </w:numPr>
      </w:pPr>
      <w:r>
        <w:rPr>
          <w:b/>
          <w:bCs/>
        </w:rPr>
        <w:t>Eight divisions</w:t>
      </w:r>
      <w:r>
        <w:t xml:space="preserve"> on the current ledcor.com: Building, Communications (LTS), Electricity, Energy, Infrastructure, Mining, Properties, Transportation. Building work in BC/AB runs through </w:t>
      </w:r>
      <w:r>
        <w:rPr>
          <w:b/>
          <w:bCs/>
        </w:rPr>
        <w:t>Ledcor Construction Limited</w:t>
      </w:r>
      <w:r>
        <w:t xml:space="preserve">; development through </w:t>
      </w:r>
      <w:r>
        <w:rPr>
          <w:b/>
          <w:bCs/>
        </w:rPr>
        <w:t>Ledcor Properties / LPI</w:t>
      </w:r>
      <w:r>
        <w:t>.</w:t>
      </w:r>
    </w:p>
    <w:p w14:paraId="0F7512D6" w14:textId="77777777" w:rsidR="00C86F02" w:rsidRDefault="00495E05">
      <w:pPr>
        <w:pStyle w:val="Compact"/>
        <w:numPr>
          <w:ilvl w:val="0"/>
          <w:numId w:val="4"/>
        </w:numPr>
      </w:pPr>
      <w:r>
        <w:rPr>
          <w:b/>
          <w:bCs/>
        </w:rPr>
        <w:t>Leadership:</w:t>
      </w:r>
      <w:r>
        <w:t xml:space="preserve"> </w:t>
      </w:r>
      <w:r>
        <w:rPr>
          <w:b/>
          <w:bCs/>
        </w:rPr>
        <w:t>Dave Lede — Chairman and CEO</w:t>
      </w:r>
      <w:r>
        <w:t xml:space="preserve"> (active, not emeritus). </w:t>
      </w:r>
      <w:r>
        <w:rPr>
          <w:b/>
          <w:bCs/>
        </w:rPr>
        <w:t>Jeff Watt — President, Ledcor Group of Companies</w:t>
      </w:r>
      <w:r>
        <w:t xml:space="preserve"> (since Jan 13, 2025). </w:t>
      </w:r>
      <w:r>
        <w:rPr>
          <w:b/>
          <w:bCs/>
        </w:rPr>
        <w:t>Russell Zirnhelt — EVP, Ledcor Construction Ltd</w:t>
      </w:r>
      <w:r>
        <w:t xml:space="preserve"> (heads building construction Canada-wide). Development: </w:t>
      </w:r>
      <w:r>
        <w:rPr>
          <w:b/>
          <w:bCs/>
        </w:rPr>
        <w:t>Pat Patterson — President, Ledcor Properties</w:t>
      </w:r>
      <w:r>
        <w:t xml:space="preserve"> (based Irvine, CA — genuinely; their US development team is there).</w:t>
      </w:r>
    </w:p>
    <w:p w14:paraId="19604FAC" w14:textId="77777777" w:rsidR="00C86F02" w:rsidRDefault="00495E05">
      <w:pPr>
        <w:pStyle w:val="Compact"/>
        <w:numPr>
          <w:ilvl w:val="0"/>
          <w:numId w:val="4"/>
        </w:numPr>
      </w:pPr>
      <w:r>
        <w:rPr>
          <w:b/>
          <w:bCs/>
        </w:rPr>
        <w:t>Scale [I — estimates only, no audited figures]:</w:t>
      </w:r>
      <w:r>
        <w:t xml:space="preserve"> roughly </w:t>
      </w:r>
      <w:r>
        <w:rPr>
          <w:b/>
          <w:bCs/>
        </w:rPr>
        <w:t>$5B revenue</w:t>
      </w:r>
      <w:r>
        <w:t xml:space="preserve"> (aggregator estimates $5–5.8B), </w:t>
      </w:r>
      <w:r>
        <w:rPr>
          <w:b/>
          <w:bCs/>
        </w:rPr>
        <w:t>~7,000 employees</w:t>
      </w:r>
      <w:r>
        <w:t xml:space="preserve"> (LinkedIn band 5,000–10,000), historically a </w:t>
      </w:r>
      <w:r>
        <w:rPr>
          <w:b/>
          <w:bCs/>
        </w:rPr>
        <w:t>top-3–5 Canadian contractor</w:t>
      </w:r>
      <w:r>
        <w:t xml:space="preserve"> </w:t>
      </w:r>
      <w:r>
        <w:t>(On-Site Magazine rankings; table gated). Treat all three as estimates.</w:t>
      </w:r>
    </w:p>
    <w:p w14:paraId="1EDD283E" w14:textId="77777777" w:rsidR="00C86F02" w:rsidRDefault="00495E05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Direction 2024–26:</w:t>
      </w:r>
      <w:r>
        <w:t xml:space="preserve"> no M&amp;A; growth is megaproject JVs (Surrey Langley SkyTrain, Edmonton Capital Line LRT, Cedar LNG, </w:t>
      </w:r>
      <w:r>
        <w:rPr>
          <w:b/>
          <w:bCs/>
        </w:rPr>
        <w:t>BC Children’s Centre for Health Complexity</w:t>
      </w:r>
      <w:r>
        <w:t>) plus real mass-timber delivery (BCIT Tall Timber). A “data centre” push exists in marketing only — no built work found. [V]</w:t>
      </w:r>
    </w:p>
    <w:p w14:paraId="255D9330" w14:textId="77777777" w:rsidR="00C86F02" w:rsidRDefault="00495E05">
      <w:pPr>
        <w:pStyle w:val="Heading2"/>
      </w:pPr>
      <w:bookmarkStart w:id="4" w:name="Xd8550f7e673afe42cc300c24df3e02f7d88021b"/>
      <w:bookmarkEnd w:id="3"/>
      <w:r>
        <w:t>4. How Ledcor buys structural engineering (the core analysis)</w:t>
      </w:r>
    </w:p>
    <w:p w14:paraId="11E468EA" w14:textId="77777777" w:rsidR="00C86F02" w:rsidRDefault="00495E05">
      <w:pPr>
        <w:pStyle w:val="FirstParagraph"/>
      </w:pPr>
      <w:r>
        <w:rPr>
          <w:b/>
          <w:bCs/>
        </w:rPr>
        <w:t>The rule [V]:</w:t>
      </w:r>
      <w:r>
        <w:t xml:space="preserve"> on Ledcor’s ordinary GC / construction-management work, the </w:t>
      </w:r>
      <w:r>
        <w:rPr>
          <w:b/>
          <w:bCs/>
        </w:rPr>
        <w:t>owner or architect</w:t>
      </w:r>
      <w:r>
        <w:t xml:space="preserve"> </w:t>
      </w:r>
      <w:r>
        <w:t xml:space="preserve">procures the structural engineer — Ledcor doesn’t hold that decision. Ledcor picks the structural engineer only where it owns the design: </w:t>
      </w:r>
      <w:r>
        <w:rPr>
          <w:b/>
          <w:bCs/>
        </w:rPr>
        <w:t>design-build, P3, and early-contractor-involvement</w:t>
      </w:r>
      <w:r>
        <w:t xml:space="preserve"> work — roughly one flagship at a time.</w:t>
      </w:r>
    </w:p>
    <w:p w14:paraId="02998FA2" w14:textId="77777777" w:rsidR="00C86F02" w:rsidRDefault="00495E05">
      <w:pPr>
        <w:pStyle w:val="BodyText"/>
      </w:pPr>
      <w:r>
        <w:rPr>
          <w:b/>
          <w:bCs/>
        </w:rPr>
        <w:t>The verified evidence: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610"/>
        <w:gridCol w:w="2610"/>
        <w:gridCol w:w="2610"/>
        <w:gridCol w:w="2610"/>
      </w:tblGrid>
      <w:tr w:rsidR="00C86F02" w:rsidRPr="0038245A" w14:paraId="202E0A4F" w14:textId="77777777" w:rsidTr="00382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5827FD49" w14:textId="77777777" w:rsidR="00C86F02" w:rsidRPr="0038245A" w:rsidRDefault="00495E05">
            <w:pPr>
              <w:pStyle w:val="Compact"/>
              <w:rPr>
                <w:b w:val="0"/>
                <w:sz w:val="17"/>
              </w:rPr>
            </w:pPr>
            <w:r w:rsidRPr="0038245A">
              <w:rPr>
                <w:b w:val="0"/>
                <w:sz w:val="17"/>
              </w:rPr>
              <w:t>Project</w:t>
            </w:r>
          </w:p>
        </w:tc>
        <w:tc>
          <w:tcPr>
            <w:tcW w:w="1250" w:type="pct"/>
          </w:tcPr>
          <w:p w14:paraId="112CC5A6" w14:textId="77777777" w:rsidR="00C86F02" w:rsidRPr="0038245A" w:rsidRDefault="00495E05">
            <w:pPr>
              <w:pStyle w:val="Compact"/>
              <w:rPr>
                <w:b w:val="0"/>
                <w:sz w:val="17"/>
              </w:rPr>
            </w:pPr>
            <w:r w:rsidRPr="0038245A">
              <w:rPr>
                <w:b w:val="0"/>
                <w:sz w:val="17"/>
              </w:rPr>
              <w:t>Delivery</w:t>
            </w:r>
          </w:p>
        </w:tc>
        <w:tc>
          <w:tcPr>
            <w:tcW w:w="1250" w:type="pct"/>
          </w:tcPr>
          <w:p w14:paraId="7DA7198A" w14:textId="77777777" w:rsidR="00C86F02" w:rsidRPr="0038245A" w:rsidRDefault="00495E05">
            <w:pPr>
              <w:pStyle w:val="Compact"/>
              <w:rPr>
                <w:b w:val="0"/>
                <w:sz w:val="17"/>
              </w:rPr>
            </w:pPr>
            <w:r w:rsidRPr="0038245A">
              <w:rPr>
                <w:b w:val="0"/>
                <w:sz w:val="17"/>
              </w:rPr>
              <w:t>Structural engineer</w:t>
            </w:r>
          </w:p>
        </w:tc>
        <w:tc>
          <w:tcPr>
            <w:tcW w:w="1250" w:type="pct"/>
          </w:tcPr>
          <w:p w14:paraId="0E8BB1BB" w14:textId="77777777" w:rsidR="00C86F02" w:rsidRPr="0038245A" w:rsidRDefault="00495E05">
            <w:pPr>
              <w:pStyle w:val="Compact"/>
              <w:rPr>
                <w:b w:val="0"/>
                <w:sz w:val="17"/>
              </w:rPr>
            </w:pPr>
            <w:r w:rsidRPr="0038245A">
              <w:rPr>
                <w:b w:val="0"/>
                <w:sz w:val="17"/>
              </w:rPr>
              <w:t>Status</w:t>
            </w:r>
          </w:p>
        </w:tc>
      </w:tr>
      <w:tr w:rsidR="00C86F02" w:rsidRPr="0038245A" w14:paraId="2DD09759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214E3518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BC Children’s — Centre for Health Complexity</w:t>
            </w:r>
          </w:p>
        </w:tc>
        <w:tc>
          <w:tcPr>
            <w:tcW w:w="1250" w:type="pct"/>
          </w:tcPr>
          <w:p w14:paraId="50579CA1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Ledcor Design-Build</w:t>
            </w:r>
            <w:r w:rsidRPr="0038245A">
              <w:rPr>
                <w:sz w:val="17"/>
              </w:rPr>
              <w:t xml:space="preserve"> (selected Jul 2024)</w:t>
            </w:r>
          </w:p>
        </w:tc>
        <w:tc>
          <w:tcPr>
            <w:tcW w:w="1250" w:type="pct"/>
          </w:tcPr>
          <w:p w14:paraId="4C20AE32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Fast+Epp</w:t>
            </w:r>
          </w:p>
        </w:tc>
        <w:tc>
          <w:tcPr>
            <w:tcW w:w="1250" w:type="pct"/>
          </w:tcPr>
          <w:p w14:paraId="1CC7889C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Under construction; complete Dec 2027 [V]</w:t>
            </w:r>
          </w:p>
        </w:tc>
      </w:tr>
      <w:tr w:rsidR="00C86F02" w:rsidRPr="0038245A" w14:paraId="13628B19" w14:textId="77777777" w:rsidTr="0038245A">
        <w:trPr>
          <w:cantSplit/>
        </w:trPr>
        <w:tc>
          <w:tcPr>
            <w:tcW w:w="1250" w:type="pct"/>
          </w:tcPr>
          <w:p w14:paraId="364B0088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BCIT Tall Timber Student Housing (12-st CLT)</w:t>
            </w:r>
          </w:p>
        </w:tc>
        <w:tc>
          <w:tcPr>
            <w:tcW w:w="1250" w:type="pct"/>
          </w:tcPr>
          <w:p w14:paraId="76603B0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Ledcor GC, early contractor involvement</w:t>
            </w:r>
          </w:p>
        </w:tc>
        <w:tc>
          <w:tcPr>
            <w:tcW w:w="1250" w:type="pct"/>
          </w:tcPr>
          <w:p w14:paraId="64C511F2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Fast+Epp</w:t>
            </w:r>
          </w:p>
        </w:tc>
        <w:tc>
          <w:tcPr>
            <w:tcW w:w="1250" w:type="pct"/>
          </w:tcPr>
          <w:p w14:paraId="774E56BD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Opened early Sept 2025 [V]</w:t>
            </w:r>
          </w:p>
        </w:tc>
      </w:tr>
      <w:tr w:rsidR="00C86F02" w:rsidRPr="0038245A" w14:paraId="0BB3EC8C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67EEA11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Northern Lights College Trades Centre, Dawson Creek</w:t>
            </w:r>
          </w:p>
        </w:tc>
        <w:tc>
          <w:tcPr>
            <w:tcW w:w="1250" w:type="pct"/>
          </w:tcPr>
          <w:p w14:paraId="0DE6598F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Ledcor builder</w:t>
            </w:r>
          </w:p>
        </w:tc>
        <w:tc>
          <w:tcPr>
            <w:tcW w:w="1250" w:type="pct"/>
          </w:tcPr>
          <w:p w14:paraId="59066C15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Equilibrium Consulting</w:t>
            </w:r>
            <w:r w:rsidRPr="0038245A">
              <w:rPr>
                <w:sz w:val="17"/>
              </w:rPr>
              <w:t xml:space="preserve"> (design/consulting credit)</w:t>
            </w:r>
          </w:p>
        </w:tc>
        <w:tc>
          <w:tcPr>
            <w:tcW w:w="1250" w:type="pct"/>
          </w:tcPr>
          <w:p w14:paraId="666D571D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Complete 2018 [V]</w:t>
            </w:r>
          </w:p>
        </w:tc>
      </w:tr>
      <w:tr w:rsidR="00C86F02" w:rsidRPr="0038245A" w14:paraId="5B104FF5" w14:textId="77777777" w:rsidTr="0038245A">
        <w:trPr>
          <w:cantSplit/>
        </w:trPr>
        <w:tc>
          <w:tcPr>
            <w:tcW w:w="1250" w:type="pct"/>
          </w:tcPr>
          <w:p w14:paraId="108677C0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James Cowan Theatre, Burnaby</w:t>
            </w:r>
          </w:p>
        </w:tc>
        <w:tc>
          <w:tcPr>
            <w:tcW w:w="1250" w:type="pct"/>
          </w:tcPr>
          <w:p w14:paraId="11ACBFC5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Ledcor Design-Build</w:t>
            </w:r>
          </w:p>
        </w:tc>
        <w:tc>
          <w:tcPr>
            <w:tcW w:w="1250" w:type="pct"/>
          </w:tcPr>
          <w:p w14:paraId="2B4592D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b/>
                <w:bCs/>
                <w:sz w:val="17"/>
              </w:rPr>
              <w:t>Not publicly named</w:t>
            </w:r>
            <w:r w:rsidRPr="0038245A">
              <w:rPr>
                <w:sz w:val="17"/>
              </w:rPr>
              <w:t xml:space="preserve"> — no source; do not repeat the Glotman rumour</w:t>
            </w:r>
          </w:p>
        </w:tc>
        <w:tc>
          <w:tcPr>
            <w:tcW w:w="1250" w:type="pct"/>
          </w:tcPr>
          <w:p w14:paraId="271E939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In delivery [V on contractor]</w:t>
            </w:r>
          </w:p>
        </w:tc>
      </w:tr>
      <w:tr w:rsidR="00C86F02" w:rsidRPr="0038245A" w14:paraId="19C549C5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BD856E1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Brock Commons UBC</w:t>
            </w:r>
          </w:p>
        </w:tc>
        <w:tc>
          <w:tcPr>
            <w:tcW w:w="1250" w:type="pct"/>
          </w:tcPr>
          <w:p w14:paraId="5589A64A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—</w:t>
            </w:r>
          </w:p>
        </w:tc>
        <w:tc>
          <w:tcPr>
            <w:tcW w:w="1250" w:type="pct"/>
          </w:tcPr>
          <w:p w14:paraId="1CBD59B3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i/>
                <w:iCs/>
                <w:sz w:val="17"/>
              </w:rPr>
              <w:t>Not a Ledcor project</w:t>
            </w:r>
            <w:r w:rsidRPr="0038245A">
              <w:rPr>
                <w:sz w:val="17"/>
              </w:rPr>
              <w:t xml:space="preserve"> (built by Urban One; F+E structural) — a common misattribution, corrected here</w:t>
            </w:r>
          </w:p>
        </w:tc>
        <w:tc>
          <w:tcPr>
            <w:tcW w:w="1250" w:type="pct"/>
          </w:tcPr>
          <w:p w14:paraId="2726E253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[V]</w:t>
            </w:r>
          </w:p>
        </w:tc>
      </w:tr>
    </w:tbl>
    <w:p w14:paraId="40ABC636" w14:textId="77777777" w:rsidR="00C86F02" w:rsidRDefault="00495E05">
      <w:pPr>
        <w:pStyle w:val="BodyText"/>
      </w:pPr>
      <w:r>
        <w:rPr>
          <w:b/>
          <w:bCs/>
        </w:rPr>
        <w:t>Who decides [V/I]:</w:t>
      </w:r>
      <w:r>
        <w:t xml:space="preserve"> design-team selection sits with the </w:t>
      </w:r>
      <w:r>
        <w:rPr>
          <w:b/>
          <w:bCs/>
        </w:rPr>
        <w:t>preconstruction/estimating and business-development function</w:t>
      </w:r>
      <w:r>
        <w:t xml:space="preserve"> at pursuit stage. Verified people in those seats: </w:t>
      </w:r>
      <w:r>
        <w:rPr>
          <w:b/>
          <w:bCs/>
        </w:rPr>
        <w:t>Aaron Grenier</w:t>
      </w:r>
      <w:r>
        <w:t xml:space="preserve"> (Director, Estimating &amp; Preconstruction — title independently confirmed twice) and </w:t>
      </w:r>
      <w:r>
        <w:rPr>
          <w:b/>
          <w:bCs/>
        </w:rPr>
        <w:t>Barry Murphy</w:t>
      </w:r>
      <w:r>
        <w:t xml:space="preserve"> (Director of Business Development). No “Design Manager, Building Construction” is publicly named — this dossier does not invent one. There is </w:t>
      </w:r>
      <w:r>
        <w:rPr>
          <w:b/>
          <w:bCs/>
        </w:rPr>
        <w:t>no public design-partner roster or portal</w:t>
      </w:r>
      <w:r>
        <w:t xml:space="preserve"> — the way in is the relationship. [V]</w:t>
      </w:r>
    </w:p>
    <w:p w14:paraId="18DFCF93" w14:textId="77777777" w:rsidR="00C86F02" w:rsidRDefault="00495E05">
      <w:pPr>
        <w:pStyle w:val="BodyText"/>
      </w:pPr>
      <w:r>
        <w:rPr>
          <w:b/>
          <w:bCs/>
        </w:rPr>
        <w:lastRenderedPageBreak/>
        <w:t>Honest boundary [V]:</w:t>
      </w:r>
      <w:r>
        <w:t xml:space="preserve"> Ledcor’s healthcare-buildings record is thin — Cowichan, Royal Columbian, the new Surrey hospital, and Calgary Cancer Centre all went to EllisDon/Bird/PCL. Its healthcare anchor is the PHSA/BC Children’s campus. Don’t pitch Ledcor as a healthcare volume channel; pitch the </w:t>
      </w:r>
      <w:r>
        <w:rPr>
          <w:i/>
          <w:iCs/>
        </w:rPr>
        <w:t>design-build lane</w:t>
      </w:r>
      <w:r>
        <w:t xml:space="preserve"> wherever it points.</w:t>
      </w:r>
    </w:p>
    <w:p w14:paraId="5D2AF897" w14:textId="77777777" w:rsidR="00C86F02" w:rsidRDefault="00495E05">
      <w:pPr>
        <w:pStyle w:val="Heading2"/>
      </w:pPr>
      <w:bookmarkStart w:id="5" w:name="expansion-paths-ranked"/>
      <w:bookmarkEnd w:id="4"/>
      <w:r>
        <w:t>5. Expansion paths, ranked</w:t>
      </w:r>
    </w:p>
    <w:p w14:paraId="548FAFEA" w14:textId="77777777" w:rsidR="00C86F02" w:rsidRDefault="00495E05">
      <w:pPr>
        <w:pStyle w:val="FirstParagraph"/>
      </w:pPr>
      <w:r>
        <w:rPr>
          <w:b/>
          <w:bCs/>
        </w:rPr>
        <w:t>A. Telus Living program — active, now, and already ours to lose. [V + KOR books]</w:t>
      </w:r>
      <w:r>
        <w:t xml:space="preserve"> Four LPI/TELUS rental projects in Vancouver; </w:t>
      </w:r>
      <w:r>
        <w:rPr>
          <w:b/>
          <w:bCs/>
        </w:rPr>
        <w:t>no structural engineer publicly named on any</w:t>
      </w:r>
      <w:r>
        <w:t xml:space="preserve">; three rezonings </w:t>
      </w:r>
      <w:r>
        <w:rPr>
          <w:b/>
          <w:bCs/>
        </w:rPr>
        <w:t>approved</w:t>
      </w:r>
      <w:r>
        <w:t xml:space="preserve"> (Chester St — 6-storey, Nov 2025; W 10th/Arbutus Walk — 25-st, Mar 2026; E 10th — 25-st, May 2026), Kingsway (25-st, 233 units) still pre-hearing. KOR’s books already show wins on the W 10th and Chester addresses and </w:t>
      </w:r>
      <w:r>
        <w:rPr>
          <w:b/>
          <w:bCs/>
        </w:rPr>
        <w:t>$300k of submitted proposals pending on E 10th and Kingsway-matching pursuits.</w:t>
      </w:r>
      <w:r>
        <w:t xml:space="preserve"> </w:t>
      </w:r>
      <w:r>
        <w:t xml:space="preserve">Action: close the two pending proposals; ask LPI (Lorne Wolinsky, VP Development, Vancouver) for program-wide coverage while the approvals convert to development permits. </w:t>
      </w:r>
      <w:r>
        <w:rPr>
          <w:b/>
          <w:bCs/>
        </w:rPr>
        <w:t>B. The design-build institutional lane. [V]</w:t>
      </w:r>
      <w:r>
        <w:t xml:space="preserve"> James-Cowan-type municipal design-builds are where Ledcor Construction picks structural partners. Route: Grenier (precon) + Murphy (BD) + Boyce (SVP BC). </w:t>
      </w:r>
      <w:r>
        <w:rPr>
          <w:i/>
          <w:iCs/>
        </w:rPr>
        <w:t>Watch item:</w:t>
      </w:r>
      <w:r>
        <w:t xml:space="preserve"> </w:t>
      </w:r>
      <w:r>
        <w:rPr>
          <w:b/>
          <w:bCs/>
        </w:rPr>
        <w:t>Surrey City Centre Arena</w:t>
      </w:r>
      <w:r>
        <w:t xml:space="preserve"> (RFP closed May 2026, award targeted </w:t>
      </w:r>
      <w:r>
        <w:rPr>
          <w:b/>
          <w:bCs/>
        </w:rPr>
        <w:t>Aug 2026</w:t>
      </w:r>
      <w:r>
        <w:t xml:space="preserve">, design team genuinely open — but no evidence Ledcor is bidding; watch, don’t assert). </w:t>
      </w:r>
      <w:r>
        <w:rPr>
          <w:b/>
          <w:bCs/>
        </w:rPr>
        <w:t>C. Alberta. [KOR books + V]</w:t>
      </w:r>
      <w:r>
        <w:t xml:space="preserve"> Two Alberta CRM engagements already open in KOR’s system; Grenier appears Edmonton-based [I]; Ledcor Construction won a </w:t>
      </w:r>
      <w:r>
        <w:rPr>
          <w:b/>
          <w:bCs/>
        </w:rPr>
        <w:t>$16.6M institutional-buildings contract in Dec 2025</w:t>
      </w:r>
      <w:r>
        <w:t xml:space="preserve"> [KOR platform awards data]. Modest, real, and adjacent to KOR’s Edmonton push. </w:t>
      </w:r>
      <w:r>
        <w:rPr>
          <w:b/>
          <w:bCs/>
        </w:rPr>
        <w:t>D. Mass-timber-adjacent institutional. [V]</w:t>
      </w:r>
      <w:r>
        <w:t xml:space="preserve"> Ledcor delivers mass timber (BCIT) but </w:t>
      </w:r>
      <w:r>
        <w:rPr>
          <w:b/>
          <w:bCs/>
        </w:rPr>
        <w:t>Fast+Epp holds the flagship relationship</w:t>
      </w:r>
      <w:r>
        <w:t xml:space="preserve"> </w:t>
      </w:r>
      <w:r>
        <w:t xml:space="preserve">(BC Children’s + BCIT). Don’t contest that lane head-on; position for the </w:t>
      </w:r>
      <w:r>
        <w:rPr>
          <w:i/>
          <w:iCs/>
        </w:rPr>
        <w:t>next tier</w:t>
      </w:r>
      <w:r>
        <w:t xml:space="preserve"> of institutional timber (the Northern Lights/Equilibrium precedent shows they use specialist SEs project-by-project).</w:t>
      </w:r>
    </w:p>
    <w:p w14:paraId="275C95E7" w14:textId="77777777" w:rsidR="00C86F02" w:rsidRDefault="00495E05">
      <w:pPr>
        <w:pStyle w:val="Heading2"/>
      </w:pPr>
      <w:bookmarkStart w:id="6" w:name="people-verified-only"/>
      <w:bookmarkEnd w:id="5"/>
      <w:r>
        <w:t>6. People (verified only)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610"/>
        <w:gridCol w:w="2610"/>
        <w:gridCol w:w="2610"/>
        <w:gridCol w:w="2610"/>
      </w:tblGrid>
      <w:tr w:rsidR="00C86F02" w:rsidRPr="0038245A" w14:paraId="252297BD" w14:textId="77777777" w:rsidTr="00382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25EF75FE" w14:textId="77777777" w:rsidR="00C86F02" w:rsidRPr="0038245A" w:rsidRDefault="00495E05">
            <w:pPr>
              <w:pStyle w:val="Compact"/>
              <w:rPr>
                <w:b w:val="0"/>
                <w:sz w:val="17"/>
              </w:rPr>
            </w:pPr>
            <w:r w:rsidRPr="0038245A">
              <w:rPr>
                <w:b w:val="0"/>
                <w:sz w:val="17"/>
              </w:rPr>
              <w:t>Person</w:t>
            </w:r>
          </w:p>
        </w:tc>
        <w:tc>
          <w:tcPr>
            <w:tcW w:w="1250" w:type="pct"/>
          </w:tcPr>
          <w:p w14:paraId="6E8E5827" w14:textId="77777777" w:rsidR="00C86F02" w:rsidRPr="0038245A" w:rsidRDefault="00495E05">
            <w:pPr>
              <w:pStyle w:val="Compact"/>
              <w:rPr>
                <w:b w:val="0"/>
                <w:sz w:val="17"/>
              </w:rPr>
            </w:pPr>
            <w:r w:rsidRPr="0038245A">
              <w:rPr>
                <w:b w:val="0"/>
                <w:sz w:val="17"/>
              </w:rPr>
              <w:t>Title</w:t>
            </w:r>
          </w:p>
        </w:tc>
        <w:tc>
          <w:tcPr>
            <w:tcW w:w="1250" w:type="pct"/>
          </w:tcPr>
          <w:p w14:paraId="65D8C9ED" w14:textId="77777777" w:rsidR="00C86F02" w:rsidRPr="0038245A" w:rsidRDefault="00495E05">
            <w:pPr>
              <w:pStyle w:val="Compact"/>
              <w:rPr>
                <w:b w:val="0"/>
                <w:sz w:val="17"/>
              </w:rPr>
            </w:pPr>
            <w:r w:rsidRPr="0038245A">
              <w:rPr>
                <w:b w:val="0"/>
                <w:sz w:val="17"/>
              </w:rPr>
              <w:t>Where</w:t>
            </w:r>
          </w:p>
        </w:tc>
        <w:tc>
          <w:tcPr>
            <w:tcW w:w="1250" w:type="pct"/>
          </w:tcPr>
          <w:p w14:paraId="48C76961" w14:textId="77777777" w:rsidR="00C86F02" w:rsidRPr="0038245A" w:rsidRDefault="00495E05">
            <w:pPr>
              <w:pStyle w:val="Compact"/>
              <w:rPr>
                <w:b w:val="0"/>
                <w:sz w:val="17"/>
              </w:rPr>
            </w:pPr>
            <w:r w:rsidRPr="0038245A">
              <w:rPr>
                <w:b w:val="0"/>
                <w:sz w:val="17"/>
              </w:rPr>
              <w:t>Contact</w:t>
            </w:r>
          </w:p>
        </w:tc>
      </w:tr>
      <w:tr w:rsidR="00C86F02" w:rsidRPr="0038245A" w14:paraId="475A1ED6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3B23FDE9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Russell Zirnhelt</w:t>
            </w:r>
          </w:p>
        </w:tc>
        <w:tc>
          <w:tcPr>
            <w:tcW w:w="1250" w:type="pct"/>
          </w:tcPr>
          <w:p w14:paraId="6ED09BB9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EVP, Ledcor Construction Ltd (buildings, Canada-wide)</w:t>
            </w:r>
          </w:p>
        </w:tc>
        <w:tc>
          <w:tcPr>
            <w:tcW w:w="1250" w:type="pct"/>
          </w:tcPr>
          <w:p w14:paraId="53F2FE5E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Vancouver</w:t>
            </w:r>
          </w:p>
        </w:tc>
        <w:tc>
          <w:tcPr>
            <w:tcW w:w="1250" w:type="pct"/>
          </w:tcPr>
          <w:p w14:paraId="2C154739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 xml:space="preserve">russell.zirnhelt@ledcor.com </w:t>
            </w:r>
            <w:r w:rsidRPr="0038245A">
              <w:rPr>
                <w:i/>
                <w:iCs/>
                <w:sz w:val="17"/>
              </w:rPr>
              <w:t>(inferred pattern, unconfirmed)</w:t>
            </w:r>
          </w:p>
        </w:tc>
      </w:tr>
      <w:tr w:rsidR="00C86F02" w:rsidRPr="0038245A" w14:paraId="72D8817A" w14:textId="77777777" w:rsidTr="0038245A">
        <w:trPr>
          <w:cantSplit/>
        </w:trPr>
        <w:tc>
          <w:tcPr>
            <w:tcW w:w="1250" w:type="pct"/>
          </w:tcPr>
          <w:p w14:paraId="675DDC5E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Jonathan Boyce</w:t>
            </w:r>
          </w:p>
        </w:tc>
        <w:tc>
          <w:tcPr>
            <w:tcW w:w="1250" w:type="pct"/>
          </w:tcPr>
          <w:p w14:paraId="16DC002E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SVP, British Columbia, Construction (early 2025)</w:t>
            </w:r>
          </w:p>
        </w:tc>
        <w:tc>
          <w:tcPr>
            <w:tcW w:w="1250" w:type="pct"/>
          </w:tcPr>
          <w:p w14:paraId="10FFAC1F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Vancouver</w:t>
            </w:r>
          </w:p>
        </w:tc>
        <w:tc>
          <w:tcPr>
            <w:tcW w:w="1250" w:type="pct"/>
          </w:tcPr>
          <w:p w14:paraId="3B7AD8B6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jonathan.boyce@ledcor.com</w:t>
            </w:r>
          </w:p>
        </w:tc>
      </w:tr>
      <w:tr w:rsidR="00C86F02" w:rsidRPr="0038245A" w14:paraId="5A07312F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76EC0A78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Aaron Grenier</w:t>
            </w:r>
          </w:p>
        </w:tc>
        <w:tc>
          <w:tcPr>
            <w:tcW w:w="1250" w:type="pct"/>
          </w:tcPr>
          <w:p w14:paraId="585AA630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Director, Estimating &amp; Preconstruction</w:t>
            </w:r>
          </w:p>
        </w:tc>
        <w:tc>
          <w:tcPr>
            <w:tcW w:w="1250" w:type="pct"/>
          </w:tcPr>
          <w:p w14:paraId="28A65E60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Edmonton [I]</w:t>
            </w:r>
          </w:p>
        </w:tc>
        <w:tc>
          <w:tcPr>
            <w:tcW w:w="1250" w:type="pct"/>
          </w:tcPr>
          <w:p w14:paraId="117F41AC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 xml:space="preserve">aaron.grenier@ledcor.com </w:t>
            </w:r>
            <w:r w:rsidRPr="0038245A">
              <w:rPr>
                <w:i/>
                <w:iCs/>
                <w:sz w:val="17"/>
              </w:rPr>
              <w:t>(verified)</w:t>
            </w:r>
          </w:p>
        </w:tc>
      </w:tr>
      <w:tr w:rsidR="00C86F02" w:rsidRPr="0038245A" w14:paraId="77D217BD" w14:textId="77777777" w:rsidTr="0038245A">
        <w:trPr>
          <w:cantSplit/>
        </w:trPr>
        <w:tc>
          <w:tcPr>
            <w:tcW w:w="1250" w:type="pct"/>
          </w:tcPr>
          <w:p w14:paraId="60F6BFC6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Barry Murphy</w:t>
            </w:r>
          </w:p>
        </w:tc>
        <w:tc>
          <w:tcPr>
            <w:tcW w:w="1250" w:type="pct"/>
          </w:tcPr>
          <w:p w14:paraId="7527F7C0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Director of Business Development</w:t>
            </w:r>
          </w:p>
        </w:tc>
        <w:tc>
          <w:tcPr>
            <w:tcW w:w="1250" w:type="pct"/>
          </w:tcPr>
          <w:p w14:paraId="19588560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—</w:t>
            </w:r>
          </w:p>
        </w:tc>
        <w:tc>
          <w:tcPr>
            <w:tcW w:w="1250" w:type="pct"/>
          </w:tcPr>
          <w:p w14:paraId="74017AD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 xml:space="preserve">barry.murphy@ledcor.com </w:t>
            </w:r>
            <w:r w:rsidRPr="0038245A">
              <w:rPr>
                <w:i/>
                <w:iCs/>
                <w:sz w:val="17"/>
              </w:rPr>
              <w:t>(verified)</w:t>
            </w:r>
          </w:p>
        </w:tc>
      </w:tr>
      <w:tr w:rsidR="00C86F02" w:rsidRPr="0038245A" w14:paraId="1F5826E1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51E5B042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lastRenderedPageBreak/>
              <w:t>Jeff Thompson</w:t>
            </w:r>
          </w:p>
        </w:tc>
        <w:tc>
          <w:tcPr>
            <w:tcW w:w="1250" w:type="pct"/>
          </w:tcPr>
          <w:p w14:paraId="73A7C4E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SVP, Corporate Development &amp; National Accounts, Construction</w:t>
            </w:r>
          </w:p>
        </w:tc>
        <w:tc>
          <w:tcPr>
            <w:tcW w:w="1250" w:type="pct"/>
          </w:tcPr>
          <w:p w14:paraId="063954C5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—</w:t>
            </w:r>
          </w:p>
        </w:tc>
        <w:tc>
          <w:tcPr>
            <w:tcW w:w="1250" w:type="pct"/>
          </w:tcPr>
          <w:p w14:paraId="6075B972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 xml:space="preserve">jeff.thompson@ledcor.com </w:t>
            </w:r>
            <w:r w:rsidRPr="0038245A">
              <w:rPr>
                <w:i/>
                <w:iCs/>
                <w:sz w:val="17"/>
              </w:rPr>
              <w:t>(verified)</w:t>
            </w:r>
          </w:p>
        </w:tc>
      </w:tr>
      <w:tr w:rsidR="00C86F02" w:rsidRPr="0038245A" w14:paraId="27BE66E8" w14:textId="77777777" w:rsidTr="0038245A">
        <w:trPr>
          <w:cantSplit/>
        </w:trPr>
        <w:tc>
          <w:tcPr>
            <w:tcW w:w="1250" w:type="pct"/>
          </w:tcPr>
          <w:p w14:paraId="13D83EC3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Lorne Wolinsky</w:t>
            </w:r>
          </w:p>
        </w:tc>
        <w:tc>
          <w:tcPr>
            <w:tcW w:w="1250" w:type="pct"/>
          </w:tcPr>
          <w:p w14:paraId="69EC7B14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VP, Development (Ledcor Properties)</w:t>
            </w:r>
          </w:p>
        </w:tc>
        <w:tc>
          <w:tcPr>
            <w:tcW w:w="1250" w:type="pct"/>
          </w:tcPr>
          <w:p w14:paraId="303AAFF8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Vancouver</w:t>
            </w:r>
          </w:p>
        </w:tc>
        <w:tc>
          <w:tcPr>
            <w:tcW w:w="1250" w:type="pct"/>
          </w:tcPr>
          <w:p w14:paraId="567D80AE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via KOR’s active LPI projects</w:t>
            </w:r>
          </w:p>
        </w:tc>
      </w:tr>
      <w:tr w:rsidR="00C86F02" w:rsidRPr="0038245A" w14:paraId="3BD6C774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E7EA800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Pat Patterson</w:t>
            </w:r>
          </w:p>
        </w:tc>
        <w:tc>
          <w:tcPr>
            <w:tcW w:w="1250" w:type="pct"/>
          </w:tcPr>
          <w:p w14:paraId="6BFFDA0B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President, Ledcor Properties</w:t>
            </w:r>
          </w:p>
        </w:tc>
        <w:tc>
          <w:tcPr>
            <w:tcW w:w="1250" w:type="pct"/>
          </w:tcPr>
          <w:p w14:paraId="515CD43A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Irvine, CA</w:t>
            </w:r>
          </w:p>
        </w:tc>
        <w:tc>
          <w:tcPr>
            <w:tcW w:w="1250" w:type="pct"/>
          </w:tcPr>
          <w:p w14:paraId="71469533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via LPI</w:t>
            </w:r>
          </w:p>
        </w:tc>
      </w:tr>
      <w:tr w:rsidR="00C86F02" w:rsidRPr="0038245A" w14:paraId="6AF4E895" w14:textId="77777777" w:rsidTr="0038245A">
        <w:trPr>
          <w:cantSplit/>
        </w:trPr>
        <w:tc>
          <w:tcPr>
            <w:tcW w:w="1250" w:type="pct"/>
          </w:tcPr>
          <w:p w14:paraId="39AE85C8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Jeff Watt</w:t>
            </w:r>
          </w:p>
        </w:tc>
        <w:tc>
          <w:tcPr>
            <w:tcW w:w="1250" w:type="pct"/>
          </w:tcPr>
          <w:p w14:paraId="774F1EEC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President, Ledcor Group of Companies (Jan 2025)</w:t>
            </w:r>
          </w:p>
        </w:tc>
        <w:tc>
          <w:tcPr>
            <w:tcW w:w="1250" w:type="pct"/>
          </w:tcPr>
          <w:p w14:paraId="316238B3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Vancouver</w:t>
            </w:r>
          </w:p>
        </w:tc>
        <w:tc>
          <w:tcPr>
            <w:tcW w:w="1250" w:type="pct"/>
          </w:tcPr>
          <w:p w14:paraId="2025F356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 xml:space="preserve">jeff.watt@ledcor.com </w:t>
            </w:r>
            <w:r w:rsidRPr="0038245A">
              <w:rPr>
                <w:i/>
                <w:iCs/>
                <w:sz w:val="17"/>
              </w:rPr>
              <w:t>(inferred pattern, unconfirmed)</w:t>
            </w:r>
          </w:p>
        </w:tc>
      </w:tr>
      <w:tr w:rsidR="00C86F02" w:rsidRPr="0038245A" w14:paraId="25288E10" w14:textId="77777777" w:rsidTr="00382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508B7AC3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Dave Lede</w:t>
            </w:r>
          </w:p>
        </w:tc>
        <w:tc>
          <w:tcPr>
            <w:tcW w:w="1250" w:type="pct"/>
          </w:tcPr>
          <w:p w14:paraId="11F17491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Chairman and CEO</w:t>
            </w:r>
          </w:p>
        </w:tc>
        <w:tc>
          <w:tcPr>
            <w:tcW w:w="1250" w:type="pct"/>
          </w:tcPr>
          <w:p w14:paraId="77119D76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Vancouver</w:t>
            </w:r>
          </w:p>
        </w:tc>
        <w:tc>
          <w:tcPr>
            <w:tcW w:w="1250" w:type="pct"/>
          </w:tcPr>
          <w:p w14:paraId="79D2C04F" w14:textId="77777777" w:rsidR="00C86F02" w:rsidRPr="0038245A" w:rsidRDefault="00495E05">
            <w:pPr>
              <w:pStyle w:val="Compact"/>
              <w:rPr>
                <w:sz w:val="17"/>
              </w:rPr>
            </w:pPr>
            <w:r w:rsidRPr="0038245A">
              <w:rPr>
                <w:sz w:val="17"/>
              </w:rPr>
              <w:t>relationship level</w:t>
            </w:r>
          </w:p>
        </w:tc>
      </w:tr>
    </w:tbl>
    <w:p w14:paraId="1FDEBCED" w14:textId="77777777" w:rsidR="00C86F02" w:rsidRDefault="00495E05">
      <w:pPr>
        <w:pStyle w:val="BodyText"/>
      </w:pPr>
      <w:r>
        <w:rPr>
          <w:i/>
          <w:iCs/>
        </w:rPr>
        <w:t>Dropped after verification (do not cite):</w:t>
      </w:r>
      <w:r>
        <w:t xml:space="preserve"> Billy O’Donovan (likely departed — his LinkedIn signals another firm), “Mike Roper, VP Northern Alberta” (aggregator-only, no primary source). Development-arm working contacts are best reached through KOR’s live LPI projects — our PMs already know them.</w:t>
      </w:r>
    </w:p>
    <w:p w14:paraId="3F02A405" w14:textId="77777777" w:rsidR="00C86F02" w:rsidRDefault="00495E05">
      <w:pPr>
        <w:pStyle w:val="Heading2"/>
      </w:pPr>
      <w:bookmarkStart w:id="7" w:name="X5ad679a6ce2366714e7dff38fad8d0165fa549c"/>
      <w:bookmarkEnd w:id="6"/>
      <w:r>
        <w:t>7. The skeptic’s section — risks, weaknesses, and what we could not verify</w:t>
      </w:r>
    </w:p>
    <w:p w14:paraId="635B1813" w14:textId="77777777" w:rsidR="00C86F02" w:rsidRDefault="00495E05">
      <w:pPr>
        <w:pStyle w:val="FirstParagraph"/>
      </w:pPr>
      <w:r>
        <w:rPr>
          <w:b/>
          <w:bCs/>
        </w:rPr>
        <w:t>Adverse findings on the record [V]:</w:t>
      </w:r>
    </w:p>
    <w:p w14:paraId="38B77CF3" w14:textId="77777777" w:rsidR="00C86F02" w:rsidRDefault="00495E05">
      <w:pPr>
        <w:pStyle w:val="Compact"/>
        <w:numPr>
          <w:ilvl w:val="0"/>
          <w:numId w:val="5"/>
        </w:numPr>
      </w:pPr>
      <w:r>
        <w:rPr>
          <w:b/>
          <w:bCs/>
        </w:rPr>
        <w:t>CIRB, June 2023:</w:t>
      </w:r>
      <w:r>
        <w:t xml:space="preserve"> the Canada Industrial Relations Board unanimously found </w:t>
      </w:r>
      <w:r>
        <w:rPr>
          <w:b/>
          <w:bCs/>
        </w:rPr>
        <w:t>LTS Solutions (a Ledcor subsidiary)</w:t>
      </w:r>
      <w:r>
        <w:t xml:space="preserve"> bargained in bad faith with IBEW Local 213 over ~6 years (“makes a mockery of the collective bargaining process”) and imposed a first collective agreement — the first CIRB-imposed first agreement since 1986. A formal federal adverse finding against a group company.</w:t>
      </w:r>
    </w:p>
    <w:p w14:paraId="72414D44" w14:textId="77777777" w:rsidR="00C86F02" w:rsidRDefault="00495E05">
      <w:pPr>
        <w:pStyle w:val="Compact"/>
        <w:numPr>
          <w:ilvl w:val="0"/>
          <w:numId w:val="5"/>
        </w:numPr>
      </w:pPr>
      <w:r>
        <w:rPr>
          <w:b/>
          <w:bCs/>
        </w:rPr>
        <w:t>DMS v. Ledcor Construction, 2025 ONSC 5100:</w:t>
      </w:r>
      <w:r>
        <w:t xml:space="preserve"> Ledcor’s termination of a subcontractor was </w:t>
      </w:r>
      <w:r>
        <w:rPr>
          <w:b/>
          <w:bCs/>
        </w:rPr>
        <w:t>upheld</w:t>
      </w:r>
      <w:r>
        <w:t xml:space="preserve"> (chronic understaffing, repeated warnings), but the court cut Ledcor’s back-charges from $5.55M claimed to $2.45M awarded and rejected its delay claim entirely for lack of critical-path analysis. The judicial criticism ran in both directions — read it as a caution on documentation discipline, not a scandal. </w:t>
      </w:r>
      <w:r>
        <w:rPr>
          <w:b/>
          <w:bCs/>
        </w:rPr>
        <w:t>Soft numbers [I]:</w:t>
      </w:r>
      <w:r>
        <w:t xml:space="preserve"> </w:t>
      </w:r>
      <w:r>
        <w:t xml:space="preserve">revenue/headcount/ranking figures are aggregator estimates — Ledcor publishes no audited financials. Nothing in this dossier hangs on them. </w:t>
      </w:r>
      <w:r>
        <w:rPr>
          <w:b/>
          <w:bCs/>
        </w:rPr>
        <w:t>Thin spots [V]:</w:t>
      </w:r>
      <w:r>
        <w:t xml:space="preserve"> healthcare-buildings record beyond the PHSA campus is thin (Section 4); no data-centre building work found despite marketing; the “Telus Living — no SE named” finding is absence-of-evidence across public coverage (the rezoning booklets themselves returned errors on direct fetch). </w:t>
      </w:r>
      <w:r>
        <w:rPr>
          <w:b/>
          <w:bCs/>
        </w:rPr>
        <w:t>Could not be checked by machine (open items):</w:t>
      </w:r>
      <w:r>
        <w:t xml:space="preserve"> </w:t>
      </w:r>
      <w:r>
        <w:t xml:space="preserve">WorkSafeBC and US OSHA penalty databases (require manual queries); BC Bid / Alberta Purchasing Connection postings (not </w:t>
      </w:r>
      <w:r>
        <w:lastRenderedPageBreak/>
        <w:t>indexable — a live pursuit could exist there without appearing in this document); confirmation of who leads Ledcor’s Edmonton buildings office.</w:t>
      </w:r>
    </w:p>
    <w:p w14:paraId="4E3E257C" w14:textId="77777777" w:rsidR="00C86F02" w:rsidRDefault="00495E05">
      <w:pPr>
        <w:pStyle w:val="Heading2"/>
      </w:pPr>
      <w:bookmarkStart w:id="8" w:name="recommended-actions-dated"/>
      <w:bookmarkEnd w:id="7"/>
      <w:r>
        <w:t>8. Recommended actions (dated)</w:t>
      </w:r>
    </w:p>
    <w:p w14:paraId="4130E295" w14:textId="77777777" w:rsidR="00C86F02" w:rsidRDefault="00495E05">
      <w:pPr>
        <w:pStyle w:val="Compact"/>
        <w:numPr>
          <w:ilvl w:val="0"/>
          <w:numId w:val="6"/>
        </w:numPr>
      </w:pPr>
      <w:r>
        <w:rPr>
          <w:b/>
          <w:bCs/>
        </w:rPr>
        <w:t>Now:</w:t>
      </w:r>
      <w:r>
        <w:t xml:space="preserve"> follow up the two pending Telus Living proposals (E 10th $175k, Kingsway-matching $125k) — three approvals since November mean the program is converting to design.</w:t>
      </w:r>
    </w:p>
    <w:p w14:paraId="0B71547C" w14:textId="77777777" w:rsidR="00C86F02" w:rsidRDefault="00495E05">
      <w:pPr>
        <w:pStyle w:val="Compact"/>
        <w:numPr>
          <w:ilvl w:val="0"/>
          <w:numId w:val="6"/>
        </w:numPr>
      </w:pPr>
      <w:r>
        <w:rPr>
          <w:b/>
          <w:bCs/>
        </w:rPr>
        <w:t>July:</w:t>
      </w:r>
      <w:r>
        <w:t xml:space="preserve"> </w:t>
      </w:r>
      <w:r>
        <w:t>ask Wolinsky/LPI for a program-level conversation — “cover all four Telus Living projects plus 730 Raymur follow-on” — from inside the active relationship.</w:t>
      </w:r>
    </w:p>
    <w:p w14:paraId="15C2D12C" w14:textId="77777777" w:rsidR="00C86F02" w:rsidRDefault="00495E05">
      <w:pPr>
        <w:pStyle w:val="Compact"/>
        <w:numPr>
          <w:ilvl w:val="0"/>
          <w:numId w:val="6"/>
        </w:numPr>
      </w:pPr>
      <w:r>
        <w:rPr>
          <w:b/>
          <w:bCs/>
        </w:rPr>
        <w:t>July–August:</w:t>
      </w:r>
      <w:r>
        <w:t xml:space="preserve"> introduce KOR to Ledcor Construction’s precon/BD (Grenier, Murphy; Boyce at the relationship level) — goal: be on the call list for the next design-build pursuit’s structural seat. Reference the live LPI work as the family credential.</w:t>
      </w:r>
    </w:p>
    <w:p w14:paraId="6DDF3A55" w14:textId="77777777" w:rsidR="00C86F02" w:rsidRDefault="00495E05">
      <w:pPr>
        <w:pStyle w:val="Compact"/>
        <w:numPr>
          <w:ilvl w:val="0"/>
          <w:numId w:val="6"/>
        </w:numPr>
      </w:pPr>
      <w:r>
        <w:rPr>
          <w:b/>
          <w:bCs/>
        </w:rPr>
        <w:t>August:</w:t>
      </w:r>
      <w:r>
        <w:t xml:space="preserve"> </w:t>
      </w:r>
      <w:r>
        <w:t>check the Surrey City Centre Arena award (due ~Aug 2026) — if Ledcor (or any GC without a set SE) wins, move fast.</w:t>
      </w:r>
    </w:p>
    <w:p w14:paraId="27CDB54F" w14:textId="77777777" w:rsidR="00C86F02" w:rsidRDefault="00495E05">
      <w:pPr>
        <w:pStyle w:val="Compact"/>
        <w:numPr>
          <w:ilvl w:val="0"/>
          <w:numId w:val="6"/>
        </w:numPr>
      </w:pPr>
      <w:r>
        <w:rPr>
          <w:b/>
          <w:bCs/>
        </w:rPr>
        <w:t>Ongoing:</w:t>
      </w:r>
      <w:r>
        <w:t xml:space="preserve"> progress the two Alberta CRM engagements already in KOR’s system; verify Ledcor’s Edmonton buildings leadership before any AB outreach.</w:t>
      </w:r>
    </w:p>
    <w:p w14:paraId="19B156DE" w14:textId="77777777" w:rsidR="00C86F02" w:rsidRDefault="00495E05">
      <w:r>
        <w:pict w14:anchorId="2D750700">
          <v:rect id="_x0000_i1026" style="width:0;height:1.5pt" o:hralign="center" o:hrstd="t" o:hr="t"/>
        </w:pict>
      </w:r>
    </w:p>
    <w:p w14:paraId="435E3AD8" w14:textId="77777777" w:rsidR="00C86F02" w:rsidRDefault="00495E05">
      <w:pPr>
        <w:pStyle w:val="Heading2"/>
      </w:pPr>
      <w:bookmarkStart w:id="9" w:name="appendix-source-list-primary"/>
      <w:bookmarkEnd w:id="8"/>
      <w:r>
        <w:t>Appendix — source list (primary)</w:t>
      </w:r>
    </w:p>
    <w:p w14:paraId="11045327" w14:textId="77777777" w:rsidR="00C86F02" w:rsidRDefault="00495E05">
      <w:pPr>
        <w:pStyle w:val="FirstParagraph"/>
      </w:pPr>
      <w:r>
        <w:t>ledcor.com (executive profiles, locations, newsroom, project pages) · ledcordevelopment.com (team) · news.gov.bc.ca (BC Children’s DB selection; BCIT opening) · fastepp.com (BC Children’s + BCIT structural credits) · equilibrium-eq.com (Northern Lights College) · facilities.ubc.ca (Brock Commons — Urban One) · council.vancouver.ca (E 10th May 5 2026 + Chester Nov 13 2025 approvals) · shapeyourcity.ca + Daily Hive (3696 Kingsway) · CityHallWatch (Arbutus Walk approval) · surrey.ca + Daily Hive (City Centre A</w:t>
      </w:r>
      <w:r>
        <w:t>rena procurement) · ellisdon.com / bird.ca / pcl.com (healthcare counter-record) · canada.constructconnect.com (CIRB ruling; James Cowan) · CanLII via Singleton Reynolds (2025 ONSC 5100) · burnaby.ca (James Cowan) · KOR Deltek/CRM (pursuit and engagement records; check statuses AP/STC directly).</w:t>
      </w:r>
      <w:r>
        <w:t xml:space="preserve"> </w:t>
      </w:r>
      <w:r>
        <w:rPr>
          <w:i/>
          <w:iCs/>
        </w:rPr>
        <w:t>Research method: KOR’s internal records first, then three independent research passes, then two independent fact-checking passes that corrected or removed every claim that failed (Brock Commons misattribution removed; two people dropped; tower statuses updated to the current approvals; one structural-engineer rumour cut). Prepared 2026-07-01.</w:t>
      </w:r>
      <w:bookmarkEnd w:id="0"/>
      <w:bookmarkEnd w:id="9"/>
    </w:p>
    <w:sectPr w:rsidR="00C86F02" w:rsidSect="0038245A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60A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1695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149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7754271">
    <w:abstractNumId w:val="0"/>
  </w:num>
  <w:num w:numId="2" w16cid:durableId="1816220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4082991">
    <w:abstractNumId w:val="1"/>
  </w:num>
  <w:num w:numId="4" w16cid:durableId="722099131">
    <w:abstractNumId w:val="1"/>
  </w:num>
  <w:num w:numId="5" w16cid:durableId="540172212">
    <w:abstractNumId w:val="1"/>
  </w:num>
  <w:num w:numId="6" w16cid:durableId="398479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6F02"/>
    <w:rsid w:val="0038245A"/>
    <w:rsid w:val="00495E05"/>
    <w:rsid w:val="00C86F02"/>
    <w:rsid w:val="00F1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1C22"/>
  <w15:docId w15:val="{170A2E31-B475-4EA4-9769-9EF1191D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38245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1974</Words>
  <Characters>11253</Characters>
  <Application>Microsoft Office Word</Application>
  <DocSecurity>0</DocSecurity>
  <Lines>93</Lines>
  <Paragraphs>26</Paragraphs>
  <ScaleCrop>false</ScaleCrop>
  <Company/>
  <LinksUpToDate>false</LinksUpToDate>
  <CharactersWithSpaces>13201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2026-07-02T22:15:00Z</dcterms:created>
  <dcterms:modified xsi:type="dcterms:W3CDTF">2026-07-02T22:15:00Z</dcterms:modified>
</cp:coreProperties>
</file>