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EC5AD" w14:textId="77777777" w:rsidR="00381460" w:rsidRDefault="0076302E">
      <w:pPr>
        <w:pStyle w:val="Heading1"/>
      </w:pPr>
      <w:r>
        <w:t>KOR Structural — Defense BD Report</w:t>
      </w:r>
    </w:p>
    <w:p w14:paraId="47224CF9" w14:textId="77777777" w:rsidR="00381460" w:rsidRDefault="0076302E">
      <w:r>
        <w:rPr>
          <w:i/>
          <w:sz w:val="18"/>
        </w:rPr>
        <w:t>BC + Alberta defense and military construction pipeline, with named contacts and KOR action items. Verdicts: PURSUE_URGENT / PURSUE / MONITOR / DEAD / DISCOVER. PROMPT-driven Yurkovich-class error catch confirmed the original DB filter pulled false positives (schools, civic arenas, RCMP, First Nations commercial misclassified as defense) — re-categorization candidates are flagged inside the MONITOR/DEAD briefs. Generated 2026-06-23 20:01 UTC from live KorOpportunitiesDb honing verdicts.</w:t>
      </w:r>
    </w:p>
    <w:p w14:paraId="09EFBF1B" w14:textId="77777777" w:rsidR="00381460" w:rsidRDefault="0076302E">
      <w:pPr>
        <w:pStyle w:val="Heading2"/>
      </w:pPr>
      <w:r>
        <w:t>Executive Summary</w:t>
      </w:r>
    </w:p>
    <w:tbl>
      <w:tblPr>
        <w:tblW w:w="0" w:type="auto"/>
        <w:tblCellSpacing w:w="40" w:type="dxa"/>
        <w:tblInd w:w="250" w:type="dxa"/>
        <w:tblCellMar>
          <w:left w:w="10" w:type="dxa"/>
          <w:right w:w="10" w:type="dxa"/>
        </w:tblCellMar>
        <w:tblLook w:val="04A0" w:firstRow="1" w:lastRow="0" w:firstColumn="1" w:lastColumn="0" w:noHBand="0" w:noVBand="1"/>
      </w:tblPr>
      <w:tblGrid>
        <w:gridCol w:w="1546"/>
        <w:gridCol w:w="935"/>
        <w:gridCol w:w="912"/>
        <w:gridCol w:w="1032"/>
        <w:gridCol w:w="1075"/>
      </w:tblGrid>
      <w:tr w:rsidR="00381460" w14:paraId="143CA19F" w14:textId="77777777">
        <w:tblPrEx>
          <w:tblCellMar>
            <w:top w:w="0" w:type="dxa"/>
            <w:bottom w:w="0" w:type="dxa"/>
          </w:tblCellMar>
        </w:tblPrEx>
        <w:trPr>
          <w:tblCellSpacing w:w="40" w:type="dxa"/>
        </w:trPr>
        <w:tc>
          <w:tcPr>
            <w:tcW w:w="0" w:type="auto"/>
            <w:tcBorders>
              <w:top w:val="single" w:sz="24" w:space="0" w:color="FF5B35"/>
              <w:left w:val="single" w:sz="4" w:space="0" w:color="D5DAE0"/>
              <w:bottom w:val="single" w:sz="4" w:space="0" w:color="D5DAE0"/>
              <w:right w:val="single" w:sz="4" w:space="0" w:color="D5DAE0"/>
            </w:tcBorders>
            <w:tcMar>
              <w:top w:w="80" w:type="dxa"/>
              <w:left w:w="160" w:type="dxa"/>
              <w:bottom w:w="60" w:type="dxa"/>
              <w:right w:w="160" w:type="dxa"/>
            </w:tcMar>
          </w:tcPr>
          <w:p w14:paraId="4D832FB2" w14:textId="77777777" w:rsidR="00381460" w:rsidRDefault="0076302E">
            <w:pPr>
              <w:spacing w:after="0"/>
            </w:pPr>
            <w:r>
              <w:rPr>
                <w:b/>
                <w:color w:val="3F5364"/>
                <w:sz w:val="40"/>
              </w:rPr>
              <w:t>8</w:t>
            </w:r>
          </w:p>
          <w:p w14:paraId="3CC9A50B" w14:textId="77777777" w:rsidR="00381460" w:rsidRDefault="0076302E">
            <w:pPr>
              <w:spacing w:after="0"/>
            </w:pPr>
            <w:r>
              <w:rPr>
                <w:caps/>
                <w:color w:val="6B7280"/>
                <w:sz w:val="15"/>
              </w:rPr>
              <w:t>Projects honed</w:t>
            </w:r>
          </w:p>
        </w:tc>
        <w:tc>
          <w:tcPr>
            <w:tcW w:w="0" w:type="auto"/>
            <w:tcBorders>
              <w:top w:val="single" w:sz="24" w:space="0" w:color="C0392B"/>
              <w:left w:val="single" w:sz="4" w:space="0" w:color="D5DAE0"/>
              <w:bottom w:val="single" w:sz="4" w:space="0" w:color="D5DAE0"/>
              <w:right w:val="single" w:sz="4" w:space="0" w:color="D5DAE0"/>
            </w:tcBorders>
            <w:tcMar>
              <w:top w:w="80" w:type="dxa"/>
              <w:left w:w="160" w:type="dxa"/>
              <w:bottom w:w="60" w:type="dxa"/>
              <w:right w:w="160" w:type="dxa"/>
            </w:tcMar>
          </w:tcPr>
          <w:p w14:paraId="1ECD679F" w14:textId="77777777" w:rsidR="00381460" w:rsidRDefault="0076302E">
            <w:pPr>
              <w:spacing w:after="0"/>
            </w:pPr>
            <w:r>
              <w:rPr>
                <w:b/>
                <w:color w:val="C0392B"/>
                <w:sz w:val="40"/>
              </w:rPr>
              <w:t>3</w:t>
            </w:r>
          </w:p>
          <w:p w14:paraId="490D0352" w14:textId="77777777" w:rsidR="00381460" w:rsidRDefault="0076302E">
            <w:pPr>
              <w:spacing w:after="0"/>
            </w:pPr>
            <w:r>
              <w:rPr>
                <w:caps/>
                <w:color w:val="6B7280"/>
                <w:sz w:val="15"/>
              </w:rPr>
              <w:t>Urgent</w:t>
            </w:r>
          </w:p>
        </w:tc>
        <w:tc>
          <w:tcPr>
            <w:tcW w:w="0" w:type="auto"/>
            <w:tcBorders>
              <w:top w:val="single" w:sz="24" w:space="0" w:color="1E8449"/>
              <w:left w:val="single" w:sz="4" w:space="0" w:color="D5DAE0"/>
              <w:bottom w:val="single" w:sz="4" w:space="0" w:color="D5DAE0"/>
              <w:right w:val="single" w:sz="4" w:space="0" w:color="D5DAE0"/>
            </w:tcBorders>
            <w:tcMar>
              <w:top w:w="80" w:type="dxa"/>
              <w:left w:w="160" w:type="dxa"/>
              <w:bottom w:w="60" w:type="dxa"/>
              <w:right w:w="160" w:type="dxa"/>
            </w:tcMar>
          </w:tcPr>
          <w:p w14:paraId="13454259" w14:textId="77777777" w:rsidR="00381460" w:rsidRDefault="0076302E">
            <w:pPr>
              <w:spacing w:after="0"/>
            </w:pPr>
            <w:r>
              <w:rPr>
                <w:b/>
                <w:color w:val="1E8449"/>
                <w:sz w:val="40"/>
              </w:rPr>
              <w:t>3</w:t>
            </w:r>
          </w:p>
          <w:p w14:paraId="630F16D6" w14:textId="77777777" w:rsidR="00381460" w:rsidRDefault="0076302E">
            <w:pPr>
              <w:spacing w:after="0"/>
            </w:pPr>
            <w:r>
              <w:rPr>
                <w:caps/>
                <w:color w:val="6B7280"/>
                <w:sz w:val="15"/>
              </w:rPr>
              <w:t>Pursue</w:t>
            </w:r>
          </w:p>
        </w:tc>
        <w:tc>
          <w:tcPr>
            <w:tcW w:w="0" w:type="auto"/>
            <w:tcBorders>
              <w:top w:val="single" w:sz="24" w:space="0" w:color="B7950B"/>
              <w:left w:val="single" w:sz="4" w:space="0" w:color="D5DAE0"/>
              <w:bottom w:val="single" w:sz="4" w:space="0" w:color="D5DAE0"/>
              <w:right w:val="single" w:sz="4" w:space="0" w:color="D5DAE0"/>
            </w:tcBorders>
            <w:tcMar>
              <w:top w:w="80" w:type="dxa"/>
              <w:left w:w="160" w:type="dxa"/>
              <w:bottom w:w="60" w:type="dxa"/>
              <w:right w:w="160" w:type="dxa"/>
            </w:tcMar>
          </w:tcPr>
          <w:p w14:paraId="54EC0D05" w14:textId="77777777" w:rsidR="00381460" w:rsidRDefault="0076302E">
            <w:pPr>
              <w:spacing w:after="0"/>
            </w:pPr>
            <w:r>
              <w:rPr>
                <w:b/>
                <w:color w:val="B7950B"/>
                <w:sz w:val="40"/>
              </w:rPr>
              <w:t>2</w:t>
            </w:r>
          </w:p>
          <w:p w14:paraId="7EBC6DA0" w14:textId="77777777" w:rsidR="00381460" w:rsidRDefault="0076302E">
            <w:pPr>
              <w:spacing w:after="0"/>
            </w:pPr>
            <w:r>
              <w:rPr>
                <w:caps/>
                <w:color w:val="6B7280"/>
                <w:sz w:val="15"/>
              </w:rPr>
              <w:t>Monitor</w:t>
            </w:r>
          </w:p>
        </w:tc>
        <w:tc>
          <w:tcPr>
            <w:tcW w:w="0" w:type="auto"/>
            <w:tcBorders>
              <w:top w:val="single" w:sz="24" w:space="0" w:color="2471A3"/>
              <w:left w:val="single" w:sz="4" w:space="0" w:color="D5DAE0"/>
              <w:bottom w:val="single" w:sz="4" w:space="0" w:color="D5DAE0"/>
              <w:right w:val="single" w:sz="4" w:space="0" w:color="D5DAE0"/>
            </w:tcBorders>
            <w:tcMar>
              <w:top w:w="80" w:type="dxa"/>
              <w:left w:w="160" w:type="dxa"/>
              <w:bottom w:w="60" w:type="dxa"/>
              <w:right w:w="160" w:type="dxa"/>
            </w:tcMar>
          </w:tcPr>
          <w:p w14:paraId="1DC69A26" w14:textId="77777777" w:rsidR="00381460" w:rsidRDefault="0076302E">
            <w:pPr>
              <w:spacing w:after="0"/>
            </w:pPr>
            <w:r>
              <w:rPr>
                <w:b/>
                <w:color w:val="2471A3"/>
                <w:sz w:val="40"/>
              </w:rPr>
              <w:t>0</w:t>
            </w:r>
          </w:p>
          <w:p w14:paraId="67146391" w14:textId="77777777" w:rsidR="00381460" w:rsidRDefault="0076302E">
            <w:pPr>
              <w:spacing w:after="0"/>
            </w:pPr>
            <w:r>
              <w:rPr>
                <w:caps/>
                <w:color w:val="6B7280"/>
                <w:sz w:val="15"/>
              </w:rPr>
              <w:t>Discover</w:t>
            </w:r>
          </w:p>
        </w:tc>
      </w:tr>
    </w:tbl>
    <w:p w14:paraId="75111279" w14:textId="77777777" w:rsidR="00381460" w:rsidRDefault="00381460"/>
    <w:p w14:paraId="2AFE9143" w14:textId="77777777" w:rsidR="00381460" w:rsidRDefault="0076302E">
      <w:r>
        <w:rPr>
          <w:b/>
        </w:rPr>
        <w:t xml:space="preserve">DEAD — locked or delivered: </w:t>
      </w:r>
      <w:r>
        <w:t>0</w:t>
      </w:r>
    </w:p>
    <w:p w14:paraId="03178100" w14:textId="77777777" w:rsidR="00381460" w:rsidRDefault="0076302E">
      <w:r>
        <w:rPr>
          <w:b/>
        </w:rPr>
        <w:t xml:space="preserve">DUPLICATE — flagged for MPI consolidation: </w:t>
      </w:r>
      <w:r>
        <w:t>0</w:t>
      </w:r>
    </w:p>
    <w:p w14:paraId="37BC7F51" w14:textId="77777777" w:rsidR="00381460" w:rsidRDefault="0076302E">
      <w:r>
        <w:t>Defense procurement reality: nearly everything flows through DCC (Defence Construction Canada) procurement gates, with CFHA (Canadian Forces Housing Agency) running the residential programs. Security clearance (Reliability or SECRET-level FSC) gates many structural sub slots — every PURSUE brief should be checked for clearance requirements before outreach. KOR's entry is almost always as structural sub on a design-build prime's team (EllisDon, PCL, Graham, Bird), not direct to DND.</w:t>
      </w:r>
    </w:p>
    <w:p w14:paraId="556D279C" w14:textId="77777777" w:rsidR="00381460" w:rsidRDefault="0076302E">
      <w:pPr>
        <w:pStyle w:val="Heading2"/>
      </w:pPr>
      <w:r>
        <w:t>URGENT — IMMEDIATE action required</w:t>
      </w:r>
    </w:p>
    <w:p w14:paraId="57956CB4" w14:textId="77777777" w:rsidR="00381460" w:rsidRDefault="0076302E">
      <w:pPr>
        <w:pStyle w:val="Heading3"/>
      </w:pPr>
      <w:r>
        <w:t>1. 19 Wing Comox CFHA Housing Phase 2</w:t>
      </w:r>
    </w:p>
    <w:p w14:paraId="1A7817D9" w14:textId="77777777" w:rsidR="00381460" w:rsidRDefault="0076302E">
      <w:r>
        <w:rPr>
          <w:i/>
          <w:sz w:val="18"/>
        </w:rPr>
        <w:t>Id 7163  ·  BC  ·  Proponent: Canadian Forces Housing Agency / Department of National Defence  ·  Status: PURSUE URGENT — SAME LIVE RFP as 7162. Identical action required. Bundle Comox + Esquimalt in one prime conversation.</w:t>
      </w:r>
    </w:p>
    <w:p w14:paraId="0C37AD3D" w14:textId="77777777" w:rsidR="00381460" w:rsidRDefault="0076302E">
      <w:r>
        <w:t>Same RFP as Esquimalt (7162) — bundle both in one prime contact conversation. Total combined value: $184-232M across 420 units. Additionally, 19 Wing Comox is KOR's highest DCC base relationship: CMMA Hangar (7161, $253M), CFHA Housing (7163, $93-116M), RPAS facility (6443), and Simulator Facility (CX24CMMA-81658, $18.2M) all in flight simultaneously. One strong DCC Pacific / 19 Wing relationship unlocks all four programs.</w:t>
      </w:r>
    </w:p>
    <w:p w14:paraId="4EFDA2A0" w14:textId="77777777" w:rsidR="00381460" w:rsidRDefault="0076302E">
      <w:pPr>
        <w:pStyle w:val="Heading3"/>
      </w:pPr>
      <w:r>
        <w:t>2. 19 Wing Comox CMMA Hangar</w:t>
      </w:r>
    </w:p>
    <w:p w14:paraId="7354A711" w14:textId="77777777" w:rsidR="00381460" w:rsidRDefault="0076302E">
      <w:r>
        <w:rPr>
          <w:i/>
          <w:sz w:val="18"/>
        </w:rPr>
        <w:t>Id 7161  ·  BC  ·  Proponent: Department of National Defence (via DCC)  ·  Status: PURSUE URGENT — award almost certainly made. Contact DCC Pacific (Danny Gruner) this week to confirm winning prime. Then contact prime immediately for structural sub role. Also pursue CMMA Simulator Facility (CX24CMMA-81658, $18.2M) as a parallel DCC Comox opportunity.</w:t>
      </w:r>
    </w:p>
    <w:p w14:paraId="119A3A4E" w14:textId="77777777" w:rsidR="00381460" w:rsidRDefault="0076302E">
      <w:r>
        <w:t xml:space="preserve">Largest DCC Pacific project in the pipeline at $253M. Bid closed 12 months ago — prime team is almost certainly selected. The winning prime is currently selecting sub-consultants for construction. CRITICAL: call Danny Gruner (DCC Pacific) today to identify the awarded prime, then call that prime immediately. Parallel opportunity: CMMA Simulator Facility (CX24CMMA-81658, $18.2M MDB) also in procurement — same DCC Pacific procurement team, same Comox base, potentially same prime. Bundle both opportunities in </w:t>
      </w:r>
      <w:r>
        <w:t>single DCC/prime conversation. SECRET clearance is gating — confirm KOR PSPC clearance l</w:t>
      </w:r>
    </w:p>
    <w:p w14:paraId="64BB7104" w14:textId="77777777" w:rsidR="00381460" w:rsidRDefault="0076302E">
      <w:pPr>
        <w:pStyle w:val="Heading3"/>
      </w:pPr>
      <w:r>
        <w:t>3. CFB Esquimalt CFHA 120 Units</w:t>
      </w:r>
    </w:p>
    <w:p w14:paraId="05EB8684" w14:textId="77777777" w:rsidR="00381460" w:rsidRDefault="0076302E">
      <w:r>
        <w:rPr>
          <w:i/>
          <w:sz w:val="18"/>
        </w:rPr>
        <w:t>Id 7162  ·  BC  ·  Proponent: Canadian Forces Housing Agency / Department of National Defence  ·  Status: PURSUE URGENT — LIVE RFP CLOSING IN 18 DAYS. Check MERX PR26RCIP_Pacific immediately. Contact design-build primes bidding this RFP today. Bundle with Comox (7163) — same RFP.</w:t>
      </w:r>
    </w:p>
    <w:p w14:paraId="3794242F" w14:textId="77777777" w:rsidR="00381460" w:rsidRDefault="0076302E">
      <w:r>
        <w:t>Most urgent active procurement in KOR's BC pipeline. RFP closes June 30 — 18 days. One MERX RFP covers both Esquimalt (208 units, $91-116M) and Comox (212 units, $93-116M) — total $184-232M combined. Design-build primes are assembling their teams right now. KOR must contact PCL, Bird, EllisDon, Pomerleau, Naturis, and any other DCC Pacific CFHA housing primes IMMEDIATELY to register as structural sub on their bid. Bundle Esquimalt + Comox in one conversation per prime.</w:t>
      </w:r>
    </w:p>
    <w:p w14:paraId="493CFBAF" w14:textId="77777777" w:rsidR="00381460" w:rsidRDefault="0076302E">
      <w:pPr>
        <w:pStyle w:val="Heading2"/>
      </w:pPr>
      <w:r>
        <w:t>PURSUE — Open opportunities (not yet urgent)</w:t>
      </w:r>
    </w:p>
    <w:tbl>
      <w:tblPr>
        <w:tblW w:w="5000" w:type="pct"/>
        <w:tblInd w:w="10"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65"/>
        <w:gridCol w:w="1121"/>
        <w:gridCol w:w="1151"/>
        <w:gridCol w:w="630"/>
        <w:gridCol w:w="327"/>
        <w:gridCol w:w="6506"/>
      </w:tblGrid>
      <w:tr w:rsidR="00381460" w14:paraId="7877450D" w14:textId="77777777">
        <w:tblPrEx>
          <w:tblCellMar>
            <w:top w:w="0" w:type="dxa"/>
            <w:bottom w:w="0" w:type="dxa"/>
          </w:tblCellMar>
        </w:tblPrEx>
        <w:tc>
          <w:tcPr>
            <w:tcW w:w="0" w:type="auto"/>
            <w:shd w:val="clear" w:color="auto" w:fill="3F5364"/>
          </w:tcPr>
          <w:p w14:paraId="439055E5" w14:textId="77777777" w:rsidR="00381460" w:rsidRDefault="0076302E">
            <w:pPr>
              <w:spacing w:after="0"/>
              <w:jc w:val="right"/>
            </w:pPr>
            <w:r>
              <w:rPr>
                <w:b/>
                <w:color w:val="FFFFFF"/>
                <w:sz w:val="17"/>
              </w:rPr>
              <w:t>Id</w:t>
            </w:r>
          </w:p>
        </w:tc>
        <w:tc>
          <w:tcPr>
            <w:tcW w:w="0" w:type="auto"/>
            <w:shd w:val="clear" w:color="auto" w:fill="3F5364"/>
          </w:tcPr>
          <w:p w14:paraId="133C0C8F" w14:textId="77777777" w:rsidR="00381460" w:rsidRDefault="0076302E">
            <w:pPr>
              <w:spacing w:after="0"/>
            </w:pPr>
            <w:r>
              <w:rPr>
                <w:b/>
                <w:color w:val="FFFFFF"/>
                <w:sz w:val="17"/>
              </w:rPr>
              <w:t>Project</w:t>
            </w:r>
          </w:p>
        </w:tc>
        <w:tc>
          <w:tcPr>
            <w:tcW w:w="0" w:type="auto"/>
            <w:shd w:val="clear" w:color="auto" w:fill="3F5364"/>
          </w:tcPr>
          <w:p w14:paraId="01BA7FAD" w14:textId="77777777" w:rsidR="00381460" w:rsidRDefault="0076302E">
            <w:pPr>
              <w:spacing w:after="0"/>
            </w:pPr>
            <w:r>
              <w:rPr>
                <w:b/>
                <w:color w:val="FFFFFF"/>
                <w:sz w:val="17"/>
              </w:rPr>
              <w:t>Proponent</w:t>
            </w:r>
          </w:p>
        </w:tc>
        <w:tc>
          <w:tcPr>
            <w:tcW w:w="0" w:type="auto"/>
            <w:shd w:val="clear" w:color="auto" w:fill="3F5364"/>
          </w:tcPr>
          <w:p w14:paraId="6AC0CC63" w14:textId="77777777" w:rsidR="00381460" w:rsidRDefault="0076302E">
            <w:pPr>
              <w:spacing w:after="0"/>
            </w:pPr>
            <w:r>
              <w:rPr>
                <w:b/>
                <w:color w:val="FFFFFF"/>
                <w:sz w:val="17"/>
              </w:rPr>
              <w:t>Province</w:t>
            </w:r>
          </w:p>
        </w:tc>
        <w:tc>
          <w:tcPr>
            <w:tcW w:w="0" w:type="auto"/>
            <w:shd w:val="clear" w:color="auto" w:fill="3F5364"/>
          </w:tcPr>
          <w:p w14:paraId="016DE92F" w14:textId="77777777" w:rsidR="00381460" w:rsidRDefault="0076302E">
            <w:pPr>
              <w:spacing w:after="0"/>
              <w:jc w:val="right"/>
            </w:pPr>
            <w:r>
              <w:rPr>
                <w:b/>
                <w:color w:val="FFFFFF"/>
                <w:sz w:val="17"/>
              </w:rPr>
              <w:t>Cost</w:t>
            </w:r>
          </w:p>
        </w:tc>
        <w:tc>
          <w:tcPr>
            <w:tcW w:w="0" w:type="auto"/>
            <w:shd w:val="clear" w:color="auto" w:fill="3F5364"/>
          </w:tcPr>
          <w:p w14:paraId="709753D0" w14:textId="77777777" w:rsidR="00381460" w:rsidRDefault="0076302E">
            <w:pPr>
              <w:spacing w:after="0"/>
            </w:pPr>
            <w:r>
              <w:rPr>
                <w:b/>
                <w:color w:val="FFFFFF"/>
                <w:sz w:val="17"/>
              </w:rPr>
              <w:t>Why PURSUE</w:t>
            </w:r>
          </w:p>
        </w:tc>
      </w:tr>
      <w:tr w:rsidR="00381460" w14:paraId="7EF1B13F" w14:textId="77777777">
        <w:tblPrEx>
          <w:tblCellMar>
            <w:top w:w="0" w:type="dxa"/>
            <w:bottom w:w="0" w:type="dxa"/>
          </w:tblCellMar>
        </w:tblPrEx>
        <w:tc>
          <w:tcPr>
            <w:tcW w:w="0" w:type="auto"/>
          </w:tcPr>
          <w:p w14:paraId="12A0FE15" w14:textId="77777777" w:rsidR="00381460" w:rsidRDefault="0076302E">
            <w:pPr>
              <w:spacing w:after="0"/>
              <w:jc w:val="right"/>
            </w:pPr>
            <w:r>
              <w:rPr>
                <w:sz w:val="17"/>
              </w:rPr>
              <w:t>7166</w:t>
            </w:r>
          </w:p>
        </w:tc>
        <w:tc>
          <w:tcPr>
            <w:tcW w:w="0" w:type="auto"/>
          </w:tcPr>
          <w:p w14:paraId="454036EF" w14:textId="77777777" w:rsidR="00381460" w:rsidRDefault="0076302E">
            <w:pPr>
              <w:spacing w:after="0"/>
            </w:pPr>
            <w:r>
              <w:rPr>
                <w:sz w:val="17"/>
              </w:rPr>
              <w:t xml:space="preserve">CFB Edmonton CFHA Housing </w:t>
            </w:r>
            <w:r>
              <w:rPr>
                <w:sz w:val="17"/>
              </w:rPr>
              <w:lastRenderedPageBreak/>
              <w:t>Phase 2</w:t>
            </w:r>
          </w:p>
        </w:tc>
        <w:tc>
          <w:tcPr>
            <w:tcW w:w="0" w:type="auto"/>
          </w:tcPr>
          <w:p w14:paraId="4B88375B" w14:textId="77777777" w:rsidR="00381460" w:rsidRDefault="0076302E">
            <w:pPr>
              <w:spacing w:after="0"/>
            </w:pPr>
            <w:r>
              <w:rPr>
                <w:sz w:val="17"/>
              </w:rPr>
              <w:lastRenderedPageBreak/>
              <w:t>Canadian Forces Housing Agency</w:t>
            </w:r>
          </w:p>
        </w:tc>
        <w:tc>
          <w:tcPr>
            <w:tcW w:w="0" w:type="auto"/>
          </w:tcPr>
          <w:p w14:paraId="43C0714E" w14:textId="77777777" w:rsidR="00381460" w:rsidRDefault="0076302E">
            <w:pPr>
              <w:spacing w:after="0"/>
            </w:pPr>
            <w:r>
              <w:rPr>
                <w:sz w:val="17"/>
              </w:rPr>
              <w:t>AB</w:t>
            </w:r>
          </w:p>
        </w:tc>
        <w:tc>
          <w:tcPr>
            <w:tcW w:w="0" w:type="auto"/>
          </w:tcPr>
          <w:p w14:paraId="48C78F9B" w14:textId="77777777" w:rsidR="00381460" w:rsidRDefault="00381460">
            <w:pPr>
              <w:spacing w:after="0"/>
              <w:jc w:val="right"/>
            </w:pPr>
          </w:p>
        </w:tc>
        <w:tc>
          <w:tcPr>
            <w:tcW w:w="0" w:type="auto"/>
          </w:tcPr>
          <w:p w14:paraId="2ADD1815" w14:textId="77777777" w:rsidR="00381460" w:rsidRDefault="0076302E">
            <w:pPr>
              <w:spacing w:after="0"/>
            </w:pPr>
            <w:r>
              <w:rPr>
                <w:sz w:val="17"/>
              </w:rPr>
              <w:t xml:space="preserve">Phase 2 RFP now expected Fall 2026. Bird Construction built Phase 1 and is the incumbent relationship — contact Bird Edmonton about Phase 2 CFHA bid. $459M across ~1,010 units = </w:t>
            </w:r>
            <w:r>
              <w:rPr>
                <w:sz w:val="17"/>
              </w:rPr>
              <w:lastRenderedPageBreak/>
              <w:t>multiple structural packages. KOR Edmonton office is ideal. Also: the DCC Phase 2 Housing information session slides (DCC website) confirm Edmonton is one of 25 Phase 2 locations — check the slide deck for procurement time</w:t>
            </w:r>
          </w:p>
        </w:tc>
      </w:tr>
      <w:tr w:rsidR="00381460" w14:paraId="36927ED6" w14:textId="77777777">
        <w:tblPrEx>
          <w:tblCellMar>
            <w:top w:w="0" w:type="dxa"/>
            <w:bottom w:w="0" w:type="dxa"/>
          </w:tblCellMar>
        </w:tblPrEx>
        <w:tc>
          <w:tcPr>
            <w:tcW w:w="0" w:type="auto"/>
            <w:shd w:val="clear" w:color="auto" w:fill="F4F6F8"/>
          </w:tcPr>
          <w:p w14:paraId="1929B301" w14:textId="77777777" w:rsidR="00381460" w:rsidRDefault="0076302E">
            <w:pPr>
              <w:spacing w:after="0"/>
              <w:jc w:val="right"/>
            </w:pPr>
            <w:r>
              <w:rPr>
                <w:sz w:val="17"/>
              </w:rPr>
              <w:lastRenderedPageBreak/>
              <w:t>6443</w:t>
            </w:r>
          </w:p>
        </w:tc>
        <w:tc>
          <w:tcPr>
            <w:tcW w:w="0" w:type="auto"/>
            <w:shd w:val="clear" w:color="auto" w:fill="F4F6F8"/>
          </w:tcPr>
          <w:p w14:paraId="6FC4DD3D" w14:textId="77777777" w:rsidR="00381460" w:rsidRDefault="0076302E">
            <w:pPr>
              <w:spacing w:after="0"/>
            </w:pPr>
            <w:r>
              <w:rPr>
                <w:sz w:val="17"/>
              </w:rPr>
              <w:t>Comox DoD Yellow Ridge Bid</w:t>
            </w:r>
          </w:p>
        </w:tc>
        <w:tc>
          <w:tcPr>
            <w:tcW w:w="0" w:type="auto"/>
            <w:shd w:val="clear" w:color="auto" w:fill="F4F6F8"/>
          </w:tcPr>
          <w:p w14:paraId="6E686FFC" w14:textId="77777777" w:rsidR="00381460" w:rsidRDefault="0076302E">
            <w:pPr>
              <w:spacing w:after="0"/>
            </w:pPr>
            <w:r>
              <w:rPr>
                <w:sz w:val="17"/>
              </w:rPr>
              <w:t>Department of National Defence</w:t>
            </w:r>
          </w:p>
        </w:tc>
        <w:tc>
          <w:tcPr>
            <w:tcW w:w="0" w:type="auto"/>
            <w:shd w:val="clear" w:color="auto" w:fill="F4F6F8"/>
          </w:tcPr>
          <w:p w14:paraId="379CF615" w14:textId="77777777" w:rsidR="00381460" w:rsidRDefault="0076302E">
            <w:pPr>
              <w:spacing w:after="0"/>
            </w:pPr>
            <w:r>
              <w:rPr>
                <w:sz w:val="17"/>
              </w:rPr>
              <w:t>BC</w:t>
            </w:r>
          </w:p>
        </w:tc>
        <w:tc>
          <w:tcPr>
            <w:tcW w:w="0" w:type="auto"/>
            <w:shd w:val="clear" w:color="auto" w:fill="F4F6F8"/>
          </w:tcPr>
          <w:p w14:paraId="1B994DE3" w14:textId="77777777" w:rsidR="00381460" w:rsidRDefault="00381460">
            <w:pPr>
              <w:spacing w:after="0"/>
              <w:jc w:val="right"/>
            </w:pPr>
          </w:p>
        </w:tc>
        <w:tc>
          <w:tcPr>
            <w:tcW w:w="0" w:type="auto"/>
            <w:shd w:val="clear" w:color="auto" w:fill="F4F6F8"/>
          </w:tcPr>
          <w:p w14:paraId="634DB12A" w14:textId="77777777" w:rsidR="00381460" w:rsidRDefault="0076302E">
            <w:pPr>
              <w:spacing w:after="0"/>
            </w:pPr>
            <w:r>
              <w:rPr>
                <w:sz w:val="17"/>
              </w:rPr>
              <w:t>PURSUE — RFP imminent mid-2026. Bundle with 7161 (CMMA Hangar) and 7163 (CFHA Housing) in 19 Wing Comox / DCC Pacific relationship. Hangar steel structure with specialized RPAS requirements = KOR specialty. Contact DCC Pacific (Danny Gruner) for RFP status.</w:t>
            </w:r>
          </w:p>
        </w:tc>
      </w:tr>
      <w:tr w:rsidR="00381460" w14:paraId="6B121562" w14:textId="77777777">
        <w:tblPrEx>
          <w:tblCellMar>
            <w:top w:w="0" w:type="dxa"/>
            <w:bottom w:w="0" w:type="dxa"/>
          </w:tblCellMar>
        </w:tblPrEx>
        <w:tc>
          <w:tcPr>
            <w:tcW w:w="0" w:type="auto"/>
          </w:tcPr>
          <w:p w14:paraId="2D18A4C5" w14:textId="77777777" w:rsidR="00381460" w:rsidRDefault="0076302E">
            <w:pPr>
              <w:spacing w:after="0"/>
              <w:jc w:val="right"/>
            </w:pPr>
            <w:r>
              <w:rPr>
                <w:sz w:val="17"/>
              </w:rPr>
              <w:t>6442</w:t>
            </w:r>
          </w:p>
        </w:tc>
        <w:tc>
          <w:tcPr>
            <w:tcW w:w="0" w:type="auto"/>
          </w:tcPr>
          <w:p w14:paraId="2575E8EB" w14:textId="77777777" w:rsidR="00381460" w:rsidRDefault="0076302E">
            <w:pPr>
              <w:spacing w:after="0"/>
            </w:pPr>
            <w:r>
              <w:rPr>
                <w:sz w:val="17"/>
              </w:rPr>
              <w:t>Esquimalt DoD Project</w:t>
            </w:r>
          </w:p>
        </w:tc>
        <w:tc>
          <w:tcPr>
            <w:tcW w:w="0" w:type="auto"/>
          </w:tcPr>
          <w:p w14:paraId="3775408F" w14:textId="77777777" w:rsidR="00381460" w:rsidRDefault="0076302E">
            <w:pPr>
              <w:spacing w:after="0"/>
            </w:pPr>
            <w:r>
              <w:rPr>
                <w:sz w:val="17"/>
              </w:rPr>
              <w:t>Department of National Defence</w:t>
            </w:r>
          </w:p>
        </w:tc>
        <w:tc>
          <w:tcPr>
            <w:tcW w:w="0" w:type="auto"/>
          </w:tcPr>
          <w:p w14:paraId="283A88D7" w14:textId="77777777" w:rsidR="00381460" w:rsidRDefault="0076302E">
            <w:pPr>
              <w:spacing w:after="0"/>
            </w:pPr>
            <w:r>
              <w:rPr>
                <w:sz w:val="17"/>
              </w:rPr>
              <w:t>BC</w:t>
            </w:r>
          </w:p>
        </w:tc>
        <w:tc>
          <w:tcPr>
            <w:tcW w:w="0" w:type="auto"/>
          </w:tcPr>
          <w:p w14:paraId="68A0603E" w14:textId="77777777" w:rsidR="00381460" w:rsidRDefault="00381460">
            <w:pPr>
              <w:spacing w:after="0"/>
              <w:jc w:val="right"/>
            </w:pPr>
          </w:p>
        </w:tc>
        <w:tc>
          <w:tcPr>
            <w:tcW w:w="0" w:type="auto"/>
          </w:tcPr>
          <w:p w14:paraId="6B9916F1" w14:textId="77777777" w:rsidR="00381460" w:rsidRDefault="0076302E">
            <w:pPr>
              <w:spacing w:after="0"/>
            </w:pPr>
            <w:r>
              <w:rPr>
                <w:sz w:val="17"/>
              </w:rPr>
              <w:t>PURSUE — contact EllisDon design team lead immediately to identify SE sub-consultant for JNCM Facility. 31,700 m2 / $165M = major structural scope. If SE not yet appointed, pitch KOR. Build DCC/EllisDon relationship for future DND Victoria projects.</w:t>
            </w:r>
          </w:p>
        </w:tc>
      </w:tr>
    </w:tbl>
    <w:p w14:paraId="2FCB37EE" w14:textId="77777777" w:rsidR="00381460" w:rsidRDefault="00381460"/>
    <w:p w14:paraId="222D6B85" w14:textId="77777777" w:rsidR="00381460" w:rsidRDefault="0076302E">
      <w:pPr>
        <w:pStyle w:val="Heading2"/>
      </w:pPr>
      <w:r>
        <w:t>MONITOR — Current phase locked, future phases open</w:t>
      </w:r>
    </w:p>
    <w:tbl>
      <w:tblPr>
        <w:tblW w:w="5000" w:type="pct"/>
        <w:tblInd w:w="10"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65"/>
        <w:gridCol w:w="1545"/>
        <w:gridCol w:w="1833"/>
        <w:gridCol w:w="630"/>
        <w:gridCol w:w="327"/>
        <w:gridCol w:w="5400"/>
      </w:tblGrid>
      <w:tr w:rsidR="00381460" w14:paraId="454A0E06" w14:textId="77777777">
        <w:tblPrEx>
          <w:tblCellMar>
            <w:top w:w="0" w:type="dxa"/>
            <w:bottom w:w="0" w:type="dxa"/>
          </w:tblCellMar>
        </w:tblPrEx>
        <w:tc>
          <w:tcPr>
            <w:tcW w:w="0" w:type="auto"/>
            <w:shd w:val="clear" w:color="auto" w:fill="3F5364"/>
          </w:tcPr>
          <w:p w14:paraId="4382A0C9" w14:textId="77777777" w:rsidR="00381460" w:rsidRDefault="0076302E">
            <w:pPr>
              <w:spacing w:after="0"/>
              <w:jc w:val="right"/>
            </w:pPr>
            <w:r>
              <w:rPr>
                <w:b/>
                <w:color w:val="FFFFFF"/>
                <w:sz w:val="17"/>
              </w:rPr>
              <w:t>Id</w:t>
            </w:r>
          </w:p>
        </w:tc>
        <w:tc>
          <w:tcPr>
            <w:tcW w:w="0" w:type="auto"/>
            <w:shd w:val="clear" w:color="auto" w:fill="3F5364"/>
          </w:tcPr>
          <w:p w14:paraId="055F2633" w14:textId="77777777" w:rsidR="00381460" w:rsidRDefault="0076302E">
            <w:pPr>
              <w:spacing w:after="0"/>
            </w:pPr>
            <w:r>
              <w:rPr>
                <w:b/>
                <w:color w:val="FFFFFF"/>
                <w:sz w:val="17"/>
              </w:rPr>
              <w:t>Project</w:t>
            </w:r>
          </w:p>
        </w:tc>
        <w:tc>
          <w:tcPr>
            <w:tcW w:w="0" w:type="auto"/>
            <w:shd w:val="clear" w:color="auto" w:fill="3F5364"/>
          </w:tcPr>
          <w:p w14:paraId="2E492A93" w14:textId="77777777" w:rsidR="00381460" w:rsidRDefault="0076302E">
            <w:pPr>
              <w:spacing w:after="0"/>
            </w:pPr>
            <w:r>
              <w:rPr>
                <w:b/>
                <w:color w:val="FFFFFF"/>
                <w:sz w:val="17"/>
              </w:rPr>
              <w:t>Proponent</w:t>
            </w:r>
          </w:p>
        </w:tc>
        <w:tc>
          <w:tcPr>
            <w:tcW w:w="0" w:type="auto"/>
            <w:shd w:val="clear" w:color="auto" w:fill="3F5364"/>
          </w:tcPr>
          <w:p w14:paraId="47F31E25" w14:textId="77777777" w:rsidR="00381460" w:rsidRDefault="0076302E">
            <w:pPr>
              <w:spacing w:after="0"/>
            </w:pPr>
            <w:r>
              <w:rPr>
                <w:b/>
                <w:color w:val="FFFFFF"/>
                <w:sz w:val="17"/>
              </w:rPr>
              <w:t>Province</w:t>
            </w:r>
          </w:p>
        </w:tc>
        <w:tc>
          <w:tcPr>
            <w:tcW w:w="0" w:type="auto"/>
            <w:shd w:val="clear" w:color="auto" w:fill="3F5364"/>
          </w:tcPr>
          <w:p w14:paraId="54D85BFD" w14:textId="77777777" w:rsidR="00381460" w:rsidRDefault="0076302E">
            <w:pPr>
              <w:spacing w:after="0"/>
              <w:jc w:val="right"/>
            </w:pPr>
            <w:r>
              <w:rPr>
                <w:b/>
                <w:color w:val="FFFFFF"/>
                <w:sz w:val="17"/>
              </w:rPr>
              <w:t>Cost</w:t>
            </w:r>
          </w:p>
        </w:tc>
        <w:tc>
          <w:tcPr>
            <w:tcW w:w="0" w:type="auto"/>
            <w:shd w:val="clear" w:color="auto" w:fill="3F5364"/>
          </w:tcPr>
          <w:p w14:paraId="0B4DDDFE" w14:textId="77777777" w:rsidR="00381460" w:rsidRDefault="0076302E">
            <w:pPr>
              <w:spacing w:after="0"/>
            </w:pPr>
            <w:r>
              <w:rPr>
                <w:b/>
                <w:color w:val="FFFFFF"/>
                <w:sz w:val="17"/>
              </w:rPr>
              <w:t>Why MONITOR</w:t>
            </w:r>
          </w:p>
        </w:tc>
      </w:tr>
      <w:tr w:rsidR="00381460" w14:paraId="0249450E" w14:textId="77777777">
        <w:tblPrEx>
          <w:tblCellMar>
            <w:top w:w="0" w:type="dxa"/>
            <w:bottom w:w="0" w:type="dxa"/>
          </w:tblCellMar>
        </w:tblPrEx>
        <w:tc>
          <w:tcPr>
            <w:tcW w:w="0" w:type="auto"/>
          </w:tcPr>
          <w:p w14:paraId="4508D139" w14:textId="77777777" w:rsidR="00381460" w:rsidRDefault="0076302E">
            <w:pPr>
              <w:spacing w:after="0"/>
              <w:jc w:val="right"/>
            </w:pPr>
            <w:r>
              <w:rPr>
                <w:sz w:val="17"/>
              </w:rPr>
              <w:t>7165</w:t>
            </w:r>
          </w:p>
        </w:tc>
        <w:tc>
          <w:tcPr>
            <w:tcW w:w="0" w:type="auto"/>
          </w:tcPr>
          <w:p w14:paraId="7E4F57C3" w14:textId="77777777" w:rsidR="00381460" w:rsidRDefault="0076302E">
            <w:pPr>
              <w:spacing w:after="0"/>
            </w:pPr>
            <w:r>
              <w:rPr>
                <w:sz w:val="17"/>
              </w:rPr>
              <w:t>DRDC Suffield Lab Expansion</w:t>
            </w:r>
          </w:p>
        </w:tc>
        <w:tc>
          <w:tcPr>
            <w:tcW w:w="0" w:type="auto"/>
          </w:tcPr>
          <w:p w14:paraId="44E6CECC" w14:textId="77777777" w:rsidR="00381460" w:rsidRDefault="0076302E">
            <w:pPr>
              <w:spacing w:after="0"/>
            </w:pPr>
            <w:r>
              <w:rPr>
                <w:sz w:val="17"/>
              </w:rPr>
              <w:t>Defence Research and Developme</w:t>
            </w:r>
          </w:p>
        </w:tc>
        <w:tc>
          <w:tcPr>
            <w:tcW w:w="0" w:type="auto"/>
          </w:tcPr>
          <w:p w14:paraId="659844CB" w14:textId="77777777" w:rsidR="00381460" w:rsidRDefault="0076302E">
            <w:pPr>
              <w:spacing w:after="0"/>
            </w:pPr>
            <w:r>
              <w:rPr>
                <w:sz w:val="17"/>
              </w:rPr>
              <w:t>AB</w:t>
            </w:r>
          </w:p>
        </w:tc>
        <w:tc>
          <w:tcPr>
            <w:tcW w:w="0" w:type="auto"/>
          </w:tcPr>
          <w:p w14:paraId="1D94140A" w14:textId="77777777" w:rsidR="00381460" w:rsidRDefault="00381460">
            <w:pPr>
              <w:spacing w:after="0"/>
              <w:jc w:val="right"/>
            </w:pPr>
          </w:p>
        </w:tc>
        <w:tc>
          <w:tcPr>
            <w:tcW w:w="0" w:type="auto"/>
          </w:tcPr>
          <w:p w14:paraId="54D17383" w14:textId="77777777" w:rsidR="00381460" w:rsidRDefault="0076302E">
            <w:pPr>
              <w:spacing w:after="0"/>
            </w:pPr>
            <w:r>
              <w:rPr>
                <w:sz w:val="17"/>
              </w:rPr>
              <w:t>MONITOR — this project has either been quietly awarded to a design-build prime (who has embedded their structu</w:t>
            </w:r>
          </w:p>
        </w:tc>
      </w:tr>
      <w:tr w:rsidR="00381460" w14:paraId="751B9A12" w14:textId="77777777">
        <w:tblPrEx>
          <w:tblCellMar>
            <w:top w:w="0" w:type="dxa"/>
            <w:bottom w:w="0" w:type="dxa"/>
          </w:tblCellMar>
        </w:tblPrEx>
        <w:tc>
          <w:tcPr>
            <w:tcW w:w="0" w:type="auto"/>
            <w:shd w:val="clear" w:color="auto" w:fill="F4F6F8"/>
          </w:tcPr>
          <w:p w14:paraId="4FEAE31B" w14:textId="77777777" w:rsidR="00381460" w:rsidRDefault="0076302E">
            <w:pPr>
              <w:spacing w:after="0"/>
              <w:jc w:val="right"/>
            </w:pPr>
            <w:r>
              <w:rPr>
                <w:sz w:val="17"/>
              </w:rPr>
              <w:t>7164</w:t>
            </w:r>
          </w:p>
        </w:tc>
        <w:tc>
          <w:tcPr>
            <w:tcW w:w="0" w:type="auto"/>
            <w:shd w:val="clear" w:color="auto" w:fill="F4F6F8"/>
          </w:tcPr>
          <w:p w14:paraId="0117656C" w14:textId="77777777" w:rsidR="00381460" w:rsidRDefault="0076302E">
            <w:pPr>
              <w:spacing w:after="0"/>
            </w:pPr>
            <w:r>
              <w:rPr>
                <w:sz w:val="17"/>
              </w:rPr>
              <w:t>STTCP MOB West Edmonton</w:t>
            </w:r>
          </w:p>
        </w:tc>
        <w:tc>
          <w:tcPr>
            <w:tcW w:w="0" w:type="auto"/>
            <w:shd w:val="clear" w:color="auto" w:fill="F4F6F8"/>
          </w:tcPr>
          <w:p w14:paraId="799A85D8" w14:textId="77777777" w:rsidR="00381460" w:rsidRDefault="0076302E">
            <w:pPr>
              <w:spacing w:after="0"/>
            </w:pPr>
            <w:r>
              <w:rPr>
                <w:sz w:val="17"/>
              </w:rPr>
              <w:t>Department of National Defence</w:t>
            </w:r>
          </w:p>
        </w:tc>
        <w:tc>
          <w:tcPr>
            <w:tcW w:w="0" w:type="auto"/>
            <w:shd w:val="clear" w:color="auto" w:fill="F4F6F8"/>
          </w:tcPr>
          <w:p w14:paraId="380DB6B7" w14:textId="77777777" w:rsidR="00381460" w:rsidRDefault="0076302E">
            <w:pPr>
              <w:spacing w:after="0"/>
            </w:pPr>
            <w:r>
              <w:rPr>
                <w:sz w:val="17"/>
              </w:rPr>
              <w:t>AB</w:t>
            </w:r>
          </w:p>
        </w:tc>
        <w:tc>
          <w:tcPr>
            <w:tcW w:w="0" w:type="auto"/>
            <w:shd w:val="clear" w:color="auto" w:fill="F4F6F8"/>
          </w:tcPr>
          <w:p w14:paraId="01276A9E" w14:textId="77777777" w:rsidR="00381460" w:rsidRDefault="00381460">
            <w:pPr>
              <w:spacing w:after="0"/>
              <w:jc w:val="right"/>
            </w:pPr>
          </w:p>
        </w:tc>
        <w:tc>
          <w:tcPr>
            <w:tcW w:w="0" w:type="auto"/>
            <w:shd w:val="clear" w:color="auto" w:fill="F4F6F8"/>
          </w:tcPr>
          <w:p w14:paraId="6031E499" w14:textId="77777777" w:rsidR="00381460" w:rsidRDefault="0076302E">
            <w:pPr>
              <w:spacing w:after="0"/>
            </w:pPr>
            <w:r>
              <w:rPr>
                <w:sz w:val="17"/>
              </w:rPr>
              <w:t>MONITOR — this project is 12-18 months from RFP based on current IAAC and site agreement status, but the struc</w:t>
            </w:r>
          </w:p>
        </w:tc>
      </w:tr>
    </w:tbl>
    <w:p w14:paraId="3EF29DB3" w14:textId="77777777" w:rsidR="00381460" w:rsidRDefault="00381460"/>
    <w:p w14:paraId="7C98AAEC" w14:textId="77777777" w:rsidR="00381460" w:rsidRDefault="0076302E">
      <w:pPr>
        <w:pStyle w:val="Heading2"/>
      </w:pPr>
      <w:r>
        <w:t>MARKET SIGNALS</w:t>
      </w:r>
    </w:p>
    <w:p w14:paraId="07E22A35" w14:textId="77777777" w:rsidR="00381460" w:rsidRDefault="0076302E">
      <w:r>
        <w:rPr>
          <w:b/>
        </w:rPr>
        <w:t xml:space="preserve">• KOR_OPPORTUNITY: </w:t>
      </w:r>
      <w:r>
        <w:t xml:space="preserve">Islander Engineering — Defence Canada proposal teaming (Yellowridge + DHK + KOR) — Defence Canada / DCC proposal forming with Yellowridge Construction (GC) + DHK Architects (+ KOR structural, + this firm as civil), likely CFB Esquimalt (A/B Jetty Recapitalization). KOR past-performance check (Deltek): NO KOR jobs with Islander or Gwaii (cannot cite as past performance); KOR HAS active jobs with Yellowridge (611 Brunswick St, Prince George) and dHKarchitects (All Clan House, Stellako BC). Anchor </w:t>
      </w:r>
    </w:p>
    <w:p w14:paraId="0A79DA25" w14:textId="77777777" w:rsidR="00381460" w:rsidRDefault="0076302E">
      <w:r>
        <w:rPr>
          <w:b/>
        </w:rPr>
        <w:t xml:space="preserve">• KOR_OPPORTUNITY: </w:t>
      </w:r>
      <w:r>
        <w:t>Islander Engineering — Vancouver Island civil teaming partner (land-dev / missing-middle) — Civil + clean-energy + land-development firm; complementary to KOR structural. No Deltek history - net-new teaming. Linked to Gwaii Engineering via shared founder/staff.</w:t>
      </w:r>
    </w:p>
    <w:p w14:paraId="7FB27B54" w14:textId="77777777" w:rsidR="00381460" w:rsidRDefault="0076302E">
      <w:r>
        <w:rPr>
          <w:b/>
        </w:rPr>
        <w:t xml:space="preserve">• LeadershipChange: </w:t>
      </w:r>
      <w:r>
        <w:t>hcma architecture + design — Three new principals appointed: Aiden Callison, Ali Kenyon, Darin Harding — hcma expanded its partnership group in February 2025 with three promotions. Callison leads Indigenous design work; Kenyon leads public space and community buildings; Harding leads Alberta/Calgary office work. All three are fresh principals with no locked structural incumbent — KOR entry points.</w:t>
      </w:r>
    </w:p>
    <w:p w14:paraId="7D324710" w14:textId="77777777" w:rsidR="00381460" w:rsidRDefault="0076302E">
      <w:r>
        <w:rPr>
          <w:b/>
        </w:rPr>
        <w:t xml:space="preserve">• LeadershipChange: </w:t>
      </w:r>
      <w:r>
        <w:t>hcma architecture + design — Carl-Jan Rupp departure from hcma Victoria studio — unconfirmed but consistent with prior signal — Carl-Jan Rupp's departure was flagged in prior knowledge. No current source confirms him at hcma. The Victoria studio contact strategy should shift to Paul Fast or Darin Harding as the most active current principals for Island and Alberta work respectively.</w:t>
      </w:r>
    </w:p>
    <w:p w14:paraId="0CDD3344" w14:textId="77777777" w:rsidR="00381460" w:rsidRDefault="0076302E">
      <w:r>
        <w:rPr>
          <w:b/>
        </w:rPr>
        <w:t xml:space="preserve">• LeadershipChange: </w:t>
      </w:r>
      <w:r>
        <w:t>hcma architecture + design — Stuart Rothnie departure from hcma — confirmed absent from current principal roster — Stuart Rothnie no longer appears on hcma's current principal group. The three new principals announced Feb 2025 (Callison, Kenyon, Harding) are stated to join 'hcma's seven other principals,' consistent with Rothnie's departure from the partnership. His AIBC IPBC role was external. KOR should not rely on Rothnie as an entry point.</w:t>
      </w:r>
    </w:p>
    <w:p w14:paraId="1D047453" w14:textId="77777777" w:rsidR="00381460" w:rsidRDefault="0076302E">
      <w:r>
        <w:rPr>
          <w:b/>
        </w:rPr>
        <w:t xml:space="preserve">• LeadershipChange: </w:t>
      </w:r>
      <w:r>
        <w:t>hcma architecture + design — CORRECTIVE: Darryl Condon confirmed still Managing Principal — prior departure signal was incorrect — hcma.ca team page and Feb 2025 Canadian Architect quote both confirm Darryl Condon as Managing Principal. The prior CURRENT_KNOWLEDGE departure signal for Condon is not supported by current sources. He remains the firm's senior leader and key BD contact.</w:t>
      </w:r>
    </w:p>
    <w:p w14:paraId="4EEF459B" w14:textId="77777777" w:rsidR="00381460" w:rsidRDefault="0076302E">
      <w:r>
        <w:rPr>
          <w:b/>
        </w:rPr>
        <w:t xml:space="preserve">• LeadershipChange: </w:t>
      </w:r>
      <w:r>
        <w:t>Wesgroup Properties Ltd. — Joey Coupland identified as SVP Sales — new tracked executive — Joey Coupland confirmed as Senior Vice President of Sales at Wesgroup Properties, quoted in Wesgroup's official press release for the 1 Market Square groundbreaking (December 2025) and the ACE Try Before You Buy launch (April 2026). Previously held senior roles at MLA Canada and MOSAIC. Not previously tracked.</w:t>
      </w:r>
    </w:p>
    <w:p w14:paraId="4C4E20A7" w14:textId="77777777" w:rsidR="00381460" w:rsidRDefault="0076302E">
      <w:r>
        <w:rPr>
          <w:b/>
        </w:rPr>
        <w:t xml:space="preserve">• LeadershipChange: </w:t>
      </w:r>
      <w:r>
        <w:t>Wesgroup Properties Ltd. — Brad Jones confirmed as Chief Development Officer (CDO) — title upgraded from SVP Development — Multiple 2025-2026 sources confirm Brad Jones holds the CDO title at Wesgroup, up from the SVP Development title cited in trade press through September 2024. RocketReach and The Org both confirm CDO. This makes Jones the most senior non-CEO development executive and primary BD target for KOR.</w:t>
      </w:r>
    </w:p>
    <w:p w14:paraId="6C477C3C" w14:textId="77777777" w:rsidR="00381460" w:rsidRDefault="0076302E">
      <w:r>
        <w:rPr>
          <w:b/>
        </w:rPr>
        <w:t xml:space="preserve">• LeadershipChange: </w:t>
      </w:r>
      <w:r>
        <w:t>Sightline Properties — Jamie Vaughan Title Confirmed as 'Founding President' — Not Merely 'Director' — UFV Alumni (October 2024) and Sightline's own About Us page both confirm Jamie Vaughan's title as Founder and President. Prior dossier used 'Founder/Director' — this corrects the record. ZoomInfo and RocketReach list him as 'Director' which appears to be an outdated or secondary title.</w:t>
      </w:r>
    </w:p>
    <w:p w14:paraId="0D75F446" w14:textId="77777777" w:rsidR="00381460" w:rsidRDefault="0076302E">
      <w:r>
        <w:rPr>
          <w:b/>
        </w:rPr>
        <w:lastRenderedPageBreak/>
        <w:t xml:space="preserve">• LeadershipChange: </w:t>
      </w:r>
      <w:r>
        <w:t>ZGF Architects — Gene Sandoval title clarified: Design Partner (not Managing Partner of Portland as previously tagged in KOR platform) — Fast Company Sept 2025 interview identifies Gene Sandoval as 'design partner at ZGF' on the PDX project — not Managing Partner of Portland. The Portland Managing Partner role is held by Solvei Neiger (appointed April 2024). KOR platform should update Sandoval's notes accordingly.</w:t>
      </w:r>
    </w:p>
    <w:p w14:paraId="0128D941" w14:textId="77777777" w:rsidR="00381460" w:rsidRDefault="0076302E">
      <w:r>
        <w:rPr>
          <w:b/>
        </w:rPr>
        <w:t xml:space="preserve">• LeadershipChange: </w:t>
      </w:r>
      <w:r>
        <w:t>ZGF Architects — Sharron van der Meulen appointed firmwide Managing Partner; Solvei Neiger (Portland MP) and Mitra Memari (LA MP) simultaneously named — ZGF announced three simultaneous leadership appointments in April 2024. Van der Meulen (35 years at firm) becomes firmwide Managing Partner, replacing prior structure. Neiger takes Portland office, Memari takes LA office. Van der Meulen quoted in Fast Company (Sept 2025) confirming active leadership role. This triple appointment signals a genera</w:t>
      </w:r>
    </w:p>
    <w:p w14:paraId="17235274" w14:textId="77777777" w:rsidR="00381460" w:rsidRDefault="0076302E">
      <w:r>
        <w:rPr>
          <w:b/>
        </w:rPr>
        <w:t xml:space="preserve">• LeadershipChange: </w:t>
      </w:r>
      <w:r>
        <w:t>DSAI (Diamond Schmitt Architects Inc.) — Rod Maas named Fellow of the RAIC — Vancouver Technical Director Rod Maas received RAIC Fellowship in March 2025, recognising his combined architectural and structural expertise. He is the key technical gatekeeper for structural consultant engagement on Vancouver projects.</w:t>
      </w:r>
    </w:p>
    <w:p w14:paraId="411EFCB1" w14:textId="77777777" w:rsidR="00381460" w:rsidRDefault="0076302E">
      <w:r>
        <w:rPr>
          <w:b/>
        </w:rPr>
        <w:t xml:space="preserve">• LeadershipChange: </w:t>
      </w:r>
      <w:r>
        <w:t>DSAI (Diamond Schmitt Architects Inc.) — June 2025 leadership promotions across Toronto and Vancouver — DSAI promoted Iva Radikova to Principal; Anthony Brown (Vancouver) and Sarah Mercer (Vancouver) elevated to Associates; Christiano Mahler named Director of Visualization. Vancouver-specific promotions signal growing studio capacity in KOR's home market.</w:t>
      </w:r>
    </w:p>
    <w:p w14:paraId="5CD0DB64" w14:textId="77777777" w:rsidR="00381460" w:rsidRDefault="0076302E">
      <w:r>
        <w:rPr>
          <w:b/>
        </w:rPr>
        <w:t xml:space="preserve">• LeadershipChange: </w:t>
      </w:r>
      <w:r>
        <w:t>DSAI (Diamond Schmitt Architects Inc.) — Ana Maria Llanos appointed to Vancouver Urban Design Panel — Vancouver City Council appointed Llanos to a two-year term on the Vancouver Urban Design Panel (Feb 2026). Deepens her profile and relationships with the City of Vancouver, signalling ongoing civic and institutional project pipeline in Metro Vancouver.</w:t>
      </w:r>
    </w:p>
    <w:p w14:paraId="537D7F9E" w14:textId="77777777" w:rsidR="00381460" w:rsidRDefault="0076302E">
      <w:r>
        <w:rPr>
          <w:b/>
        </w:rPr>
        <w:t xml:space="preserve">• LeadershipChange: </w:t>
      </w:r>
      <w:r>
        <w:t xml:space="preserve">MA+HG Architects — Marianne Amodio inducted as FRAIC — RAIC College of Fellows, May 2026 — Marianne Amodio was officially inducted into the RAIC College of Fellows on May 6, 2026, at a convocation ceremony during the 2026 RAIC Conference in Vancouver. This is one of Canada's highest architectural honours and raises her public profile significantly. Her title has updated from MRAIC to FRAIC. Prior knowledge listed her as FRAIC based on website; RAIC and Canadian Architect confirm the formal 2026 </w:t>
      </w:r>
    </w:p>
    <w:p w14:paraId="1095A6A5" w14:textId="77777777" w:rsidR="00381460" w:rsidRDefault="0076302E">
      <w:r>
        <w:rPr>
          <w:b/>
        </w:rPr>
        <w:t xml:space="preserve">• LeadershipChange: </w:t>
      </w:r>
      <w:r>
        <w:t>MA+HG Architects — Senior Technologist and BIM Manager departure: Paul — NEW — not in prior knowledge. Named on mahg.ca/about. 17 years of experience as architectural technologist in BC and Alberta. Former Director of Production at a mid-size Calgary firm. Leads construction documentation and consultant coordination — key day-to-day contact for SE drawing coordination. Last name not published on firm website.</w:t>
      </w:r>
    </w:p>
    <w:p w14:paraId="5826BE0A" w14:textId="77777777" w:rsidR="00381460" w:rsidRDefault="0076302E">
      <w:r>
        <w:rPr>
          <w:b/>
        </w:rPr>
        <w:t xml:space="preserve">• LeadershipChange: </w:t>
      </w:r>
      <w:r>
        <w:t>Diamond Schmitt Architects — June 2025 leadership promotions: Anthony Brown and Sarah Mercer elevated to Associate in Vancouver — Diamond Schmitt announced firm-wide promotions in June 2025. In the Vancouver office, Anthony Brown ARB was promoted to Associate and Sarah Mercer was promoted to Associate. Iva Radikova (Toronto) advanced to Principal from Director of Interior Design. Christiano Mahler became Director of Visualization. These promotions expand the Vancouver studio's leadership depth.</w:t>
      </w:r>
    </w:p>
    <w:p w14:paraId="61556504" w14:textId="77777777" w:rsidR="00381460" w:rsidRDefault="0076302E">
      <w:r>
        <w:rPr>
          <w:b/>
        </w:rPr>
        <w:t xml:space="preserve">• LeadershipChange: </w:t>
      </w:r>
      <w:r>
        <w:t>Diamond Schmitt Architects — Michael Treacy named Fellow of the RAIC — Executive Committee Principal — Principal Michael Treacy was named a Fellow of the RAIC in March 2025 and inducted at the RAIC Conference in Montreal in June 2025. Member of the Executive Committee. Primarily a performing arts specialist based in Toronto.</w:t>
      </w:r>
    </w:p>
    <w:p w14:paraId="24112D10" w14:textId="77777777" w:rsidR="00381460" w:rsidRDefault="0076302E">
      <w:r>
        <w:rPr>
          <w:b/>
        </w:rPr>
        <w:t xml:space="preserve">• LeadershipChange: </w:t>
      </w:r>
      <w:r>
        <w:t>Diamond Schmitt Architects — David Dow named Fellow of the RAIC (FRAIC) — Alberta principal — Principal David Dow, who leads UCalgary academic work for Diamond Schmitt, was named a Fellow of the RAIC in March 2025 alongside Rod Maas and Michael Treacy. This reinforces Dow's seniority and influence in Alberta institutional procurement.</w:t>
      </w:r>
    </w:p>
    <w:p w14:paraId="41FA73C9" w14:textId="77777777" w:rsidR="00381460" w:rsidRDefault="0076302E">
      <w:r>
        <w:rPr>
          <w:b/>
        </w:rPr>
        <w:t xml:space="preserve">• LeadershipChange: </w:t>
      </w:r>
      <w:r>
        <w:t>Diamond Schmitt Architects — Rod Maas named Fellow of the RAIC (FRAIC) — Vancouver Technical Director — Rod Maas, Technical Director in Diamond Schmitt's Vancouver office, was named a Fellow of the RAIC in March 2025. His 31+ years of combined architectural and structural experience and new fellowship status elevate his profile as a structural engineering collaborator and a high-priority relationship target for KOR.</w:t>
      </w:r>
    </w:p>
    <w:p w14:paraId="4038CFF8" w14:textId="77777777" w:rsidR="00381460" w:rsidRDefault="0076302E">
      <w:r>
        <w:rPr>
          <w:b/>
        </w:rPr>
        <w:t xml:space="preserve">• LeadershipChange: </w:t>
      </w:r>
      <w:r>
        <w:t>Robert A. M. Stern Architects — Daniel Lobitz confirmed as Management Committee Chair post-Stern — As of June 2026, Daniel Lobitz serves as partner and chair of RAMSA's management committee, the de facto governing body of the firm. He was quoted in a June 2026 Architect's Newspaper succession planning article confirming the firm's partnership structure.</w:t>
      </w:r>
    </w:p>
    <w:p w14:paraId="5E8F30CA" w14:textId="77777777" w:rsidR="00381460" w:rsidRDefault="0076302E">
      <w:r>
        <w:rPr>
          <w:b/>
        </w:rPr>
        <w:t xml:space="preserve">• LeadershipChange: </w:t>
      </w:r>
      <w:r>
        <w:t>Robert A. M. Stern Architects — Lisa Matkovic elevated to CEO — RAMSA's first-ever Chief Executive Officer — The RAMSA partners announced Lisa Matkovic's promotion from Chief Operating Officer to Chief Executive Officer, the firm's first such appointment. Matkovic joined RAMSA in 2011 as Director of Human Resources and has led day-to-day operations as COO for over a decade. She will shape strategic vision alongside design leadership.</w:t>
      </w:r>
    </w:p>
    <w:p w14:paraId="364F8B1A" w14:textId="77777777" w:rsidR="00381460" w:rsidRDefault="0076302E">
      <w:r>
        <w:rPr>
          <w:b/>
        </w:rPr>
        <w:lastRenderedPageBreak/>
        <w:t xml:space="preserve">• LeadershipChange: </w:t>
      </w:r>
      <w:r>
        <w:t>Robert A. M. Stern Architects — Founding partner Robert A.M. Stern died November 27, 2025, age 86 — Robert A.M. Stern died on November 27, 2025 from a pulmonary illness. He was still serving as senior partner at the time of death and had planned to retire in January 2026. RAMSA confirmed the firm will continue under its 18-partner leadership structure. This is a major corrective update: prior knowledge showed no signals; this is the most consequential leadership event in the firm's 57-year histo</w:t>
      </w:r>
    </w:p>
    <w:p w14:paraId="2498367E" w14:textId="77777777" w:rsidR="00381460" w:rsidRDefault="0076302E">
      <w:r>
        <w:rPr>
          <w:b/>
        </w:rPr>
        <w:t xml:space="preserve">• LeadershipChange: </w:t>
      </w:r>
      <w:r>
        <w:t>Boniface Oleksiuk Politano Architects — New hire: Director of Operations &amp; Strategy (Ashleigh Lowe) joined BOP — A Director of Operations &amp; Strategy role was filled at BOP Architects, with the incoming hire announcing via LinkedIn: 'I'm thrilled to share that I've joined BOP Architects as Director of Operations and Strategy.' SignalHire also lists 'Ashleigh Lowe — Director of Operations &amp; Strategy' at BOP. This is a new, senior non-principal hire representing a meaningful step in firm maturation</w:t>
      </w:r>
    </w:p>
    <w:p w14:paraId="7E6F55A3" w14:textId="77777777" w:rsidR="00381460" w:rsidRDefault="0076302E">
      <w:r>
        <w:rPr>
          <w:b/>
        </w:rPr>
        <w:t xml:space="preserve">• LeadershipChange: </w:t>
      </w:r>
      <w:r>
        <w:t>Boniface Oleksiuk Politano Architects — CORRECTIVE: Alan Boniface confirmed still Principal at BOP — prior departure flag was incorrect — Previous CURRENT_KNOWLEDGE marked Alan Boniface as isCurrent: false (departed). SignalHire (updated 2025-05-07) and LinkedIn both confirm he remains Principal at BOP Architects. His email alan@bop.ca is active. The departure flag should be cleared. He continues to post publicly under 'Principal at BOP Architects' on LinkedIn and is reposted by the firm's offic</w:t>
      </w:r>
    </w:p>
    <w:p w14:paraId="10355491" w14:textId="77777777" w:rsidR="00381460" w:rsidRDefault="0076302E">
      <w:r>
        <w:rPr>
          <w:b/>
        </w:rPr>
        <w:t xml:space="preserve">• LeadershipChange: </w:t>
      </w:r>
      <w:r>
        <w:t>Boniface Oleksiuk Politano Architects — Principal, Architect AIBC departure: Alan Boniface — CORRECTION — prior knowledge flagged as departed (isCurrent: false); multiple independent sources confirm Alan Boniface remains Principal at BOP Architects as of mid-2025. Past managing partner of DIALOG Vancouver; former Chair ULI Vancouver and Vancouver City Planning Commission. Senior industry figure and developer-relationship principal. KOR senior leadership contact target.</w:t>
      </w:r>
    </w:p>
    <w:p w14:paraId="68F9E603" w14:textId="77777777" w:rsidR="00381460" w:rsidRDefault="0076302E">
      <w:r>
        <w:rPr>
          <w:b/>
        </w:rPr>
        <w:t xml:space="preserve">• LeadershipChange: </w:t>
      </w:r>
      <w:r>
        <w:t>Studio 531 Architects — Lauren Kyle achieves Architect AIBC registration — Studio 531 publicly congratulated Lauren Kyle and Kevin Charpentier on becoming registered Architects AIBC. Kyle joined the firm having relocated to Vancouver Island from Toronto in 2020, bringing 10+ years of building design experience.</w:t>
      </w:r>
    </w:p>
    <w:p w14:paraId="55F9E8CA" w14:textId="77777777" w:rsidR="00381460" w:rsidRDefault="0076302E">
      <w:r>
        <w:rPr>
          <w:b/>
        </w:rPr>
        <w:t xml:space="preserve">• LeadershipChange: </w:t>
      </w:r>
      <w:r>
        <w:t>Studio 531 Architects — Kevin Charpentier and Rina van Charante promoted to Senior Associate — management layer rebuilt post-Garlick — Studio 531 announced the appointment of Kevin Charpentier (Architect AIBC) and Rina van Charante (Interior Architect) as Senior Associates to work with Tom Moore managing all aspects of the firm. This announcement directly follows the Garlick departure and represents a deliberate succession response — elevating internal talent rather than hiring externally.</w:t>
      </w:r>
    </w:p>
    <w:p w14:paraId="6F647634" w14:textId="77777777" w:rsidR="00381460" w:rsidRDefault="0076302E">
      <w:r>
        <w:rPr>
          <w:b/>
        </w:rPr>
        <w:t xml:space="preserve">• LeadershipChange: </w:t>
      </w:r>
      <w:r>
        <w:t>Studio 531 Architects — Jesse Garlick departed Studio 531 — has launched Jesse Garlick Architecture Inc. — Jesse Garlick's LinkedIn shows his tenure at Studio 531 as June 2017 to November 2024 (7 years 6 months). He has since established Jesse Garlick Architecture Inc. (jgarch.ca) as its own practice. His LinkedIn notes all projects were transferred to Studio 531 on exit. Studio 531's current profile page credits Tom Moore as the sole principal with no reference to Garlick. CURRENT_KNOWLEDGE lis</w:t>
      </w:r>
    </w:p>
    <w:p w14:paraId="7C17AD83" w14:textId="77777777" w:rsidR="00381460" w:rsidRDefault="0076302E">
      <w:r>
        <w:rPr>
          <w:b/>
        </w:rPr>
        <w:t xml:space="preserve">• LeadershipChange: </w:t>
      </w:r>
      <w:r>
        <w:t>KMBR Architects — Gregg Brown — title shifted from Principal to Senior Educational Facility Planner — KMBR's team page (Dec 2025) and SignalHire list Gregg Brown as 'Senior Educational Facility Planner' rather than Principal. His bio notes he advises and offers leadership at the front end of projects in visioning, programming, and feasibility. This suggests a transition from delivery principal to senior advisory/planning role — not a departure, but a scope change that may reduce his direct SE se</w:t>
      </w:r>
    </w:p>
    <w:p w14:paraId="336867E9" w14:textId="77777777" w:rsidR="00381460" w:rsidRDefault="0076302E">
      <w:pPr>
        <w:pStyle w:val="Heading2"/>
      </w:pPr>
      <w:r>
        <w:t>DISCOVER — Pre-procurement relationship-build</w:t>
      </w:r>
    </w:p>
    <w:p w14:paraId="47673015" w14:textId="77777777" w:rsidR="00381460" w:rsidRDefault="0076302E">
      <w:r>
        <w:t>None in this honing pass.</w:t>
      </w:r>
    </w:p>
    <w:p w14:paraId="5CAC78AF" w14:textId="77777777" w:rsidR="00381460" w:rsidRDefault="0076302E">
      <w:pPr>
        <w:pStyle w:val="Heading2"/>
      </w:pPr>
      <w:r>
        <w:t>DEAD — Locked (Alliance / P3 / captive / Delivered)</w:t>
      </w:r>
    </w:p>
    <w:p w14:paraId="5F9EB05B" w14:textId="77777777" w:rsidR="00381460" w:rsidRDefault="0076302E">
      <w:r>
        <w:t>None in this honing pass.</w:t>
      </w:r>
    </w:p>
    <w:p w14:paraId="65E08AA4" w14:textId="77777777" w:rsidR="00381460" w:rsidRDefault="0076302E">
      <w:pPr>
        <w:pStyle w:val="Heading2"/>
      </w:pPr>
      <w:r>
        <w:t>Strategic Synthesis</w:t>
      </w:r>
    </w:p>
    <w:p w14:paraId="7233B1E2" w14:textId="77777777" w:rsidR="00381460" w:rsidRDefault="0076302E">
      <w:pPr>
        <w:pStyle w:val="Heading3"/>
      </w:pPr>
      <w:r>
        <w:t>DCC is the gate, primes are the door</w:t>
      </w:r>
    </w:p>
    <w:p w14:paraId="443C120E" w14:textId="77777777" w:rsidR="00381460" w:rsidRDefault="0076302E">
      <w:r>
        <w:t>Defense structural work is procured via DCC, but KOR's entry point is the design-build prime's sub-consultant list, not DCC directly. Identify the likely D-B contenders per pursuit (EllisDon, PCL, Graham, Bird) and pre-position before the RFP closes the team. Subscribe to MERX / buyandsell.gc.ca DCC notices for Pacific and Western regions.</w:t>
      </w:r>
    </w:p>
    <w:p w14:paraId="4F8D6CBD" w14:textId="77777777" w:rsidR="00381460" w:rsidRDefault="0076302E">
      <w:pPr>
        <w:pStyle w:val="Heading3"/>
      </w:pPr>
      <w:r>
        <w:lastRenderedPageBreak/>
        <w:t>EllisDon as strategic defense relationship</w:t>
      </w:r>
    </w:p>
    <w:p w14:paraId="7F917DB3" w14:textId="77777777" w:rsidR="00381460" w:rsidRDefault="0076302E">
      <w:r>
        <w:t>EllisDon recurs across the defense briefs as design prime (see PURSUE/MONITOR entries above) — the same firm KOR is building toward in BC healthcare. EllisDon is to defense what Graham Design Builders is to BC healthcare: a strategic relationship to build deliberately. Contacts via their Victoria, Vancouver, or Calgary offices (named contacts in the EllisDon deep-dive and IntelPersonAffiliation).</w:t>
      </w:r>
    </w:p>
    <w:p w14:paraId="0B904393" w14:textId="77777777" w:rsidR="00381460" w:rsidRDefault="0076302E">
      <w:pPr>
        <w:pStyle w:val="Heading3"/>
      </w:pPr>
      <w:r>
        <w:t>Security clearance capability</w:t>
      </w:r>
    </w:p>
    <w:p w14:paraId="387D2882" w14:textId="77777777" w:rsidR="00381460" w:rsidRDefault="0076302E">
      <w:r>
        <w:t>Several defense packages require Reliability or SECRET-level facility clearance for the structural sub. KOR should evaluate clearance capability once a concrete pursuit firms up — it is the recurring competitive gate across this sector.</w:t>
      </w:r>
    </w:p>
    <w:p w14:paraId="3487CF5B" w14:textId="77777777" w:rsidR="00381460" w:rsidRDefault="0076302E">
      <w:pPr>
        <w:pStyle w:val="Heading3"/>
      </w:pPr>
      <w:r>
        <w:t>Live edge — Vancouver Island CFHA housing cluster</w:t>
      </w:r>
    </w:p>
    <w:p w14:paraId="592A9E83" w14:textId="77777777" w:rsidR="00381460" w:rsidRDefault="0076302E">
      <w:r>
        <w:t>The current PURSUE_URGENT set is concentrated on Vancouver Island CFHA (Canadian Forces Housing Agency) residential plus a hangar, all DCC-procured: 19 Wing Comox CFHA Housing Phase 2, 19 Wing Comox CMMA Hangar, and CFB Esquimalt CFHA 120 Units (CFB Edmonton CFHA Phase 2 and an Esquimalt DoD project follow as PURSUE). Housing-led, repeatable work in KOR's coastal-BC backyard. NOTE on past performance: KOR's Esquimalt-area structural history is Esquimalt-MUNICIPALITY work, not the naval base — KOR has no con</w:t>
      </w:r>
      <w:r>
        <w:t>firmed direct DND/CFB project record, so entry is via teaming, not incumbency.</w:t>
      </w:r>
    </w:p>
    <w:p w14:paraId="530FFA3B" w14:textId="77777777" w:rsidR="00381460" w:rsidRDefault="0076302E">
      <w:pPr>
        <w:pStyle w:val="Heading3"/>
      </w:pPr>
      <w:r>
        <w:t>Team partners KOR can leverage — Yellowridge, DHK, and an Indigenous civil partner</w:t>
      </w:r>
    </w:p>
    <w:p w14:paraId="26FF7FD4" w14:textId="77777777" w:rsidR="00381460" w:rsidRDefault="0076302E">
      <w:r>
        <w:t>KOR has active project relationships with two viable defense-team partners: Yellowridge Construction (design-build GC, 60+ years, builds DND plus Indigenous / First Nations housing &amp; health facilities) and DHK Architects — both real KOR working relationships (e.g. Yellowridge — 611 Brunswick St, Prince George; DHK — All Clan House, Stellako BC). For DND packages with Indigenous-participation requirements or on/near Nation land, pair with Gwaii Engineering (Indigenous-owned, CCAB-certified civil) and its sib</w:t>
      </w:r>
      <w:r>
        <w:t>ling Islander Engineering: KOR structural + Gwaii civil earns Indigenous-participation scoring. NOTE: KOR has no prior jobs with Islander/Gwaii — forward-looking teaming, not past performance.</w:t>
      </w:r>
    </w:p>
    <w:p w14:paraId="32D7AC0D" w14:textId="77777777" w:rsidR="00381460" w:rsidRDefault="0076302E">
      <w:pPr>
        <w:pStyle w:val="Heading3"/>
      </w:pPr>
      <w:r>
        <w:t>Defense MPI ingestion hygiene</w:t>
      </w:r>
    </w:p>
    <w:p w14:paraId="16F045DE" w14:textId="77777777" w:rsidR="00381460" w:rsidRDefault="0076302E">
      <w:r>
        <w:t>The honing pass functioned partly as a data-hygiene audit: geographic proximity to a CFB caused schools, arenas, RCMP detachments, and First Nations commercial projects to auto-classify as defense. Tighter ingestion filters needed; re-categorization candidates are flagged per-brief in the MONITOR and DEAD sections above.</w:t>
      </w:r>
    </w:p>
    <w:p w14:paraId="1AB512A5" w14:textId="77777777" w:rsidR="00381460" w:rsidRDefault="0076302E">
      <w:pPr>
        <w:pStyle w:val="Heading2"/>
      </w:pPr>
      <w:r>
        <w:t>Recommended next actions</w:t>
      </w:r>
    </w:p>
    <w:p w14:paraId="2F98F1E0" w14:textId="77777777" w:rsidR="00381460" w:rsidRDefault="0076302E">
      <w:r>
        <w:t>1. Pre-position on the 3 Vancouver Island CFHA urgents (19 Wing Comox housing + CMMA hangar, CFB Esquimalt 120 units) via the likely design-build primes BEFORE the teams close — subscribe to DCC / MERX Pacific-region notices.</w:t>
      </w:r>
    </w:p>
    <w:p w14:paraId="1983DF1E" w14:textId="77777777" w:rsidR="00381460" w:rsidRDefault="0076302E">
      <w:r>
        <w:t>2. Build the Yellowridge Construction + DHK Architects relationships deliberately — both are existing KOR working relationships and credible defense-team routes.</w:t>
      </w:r>
    </w:p>
    <w:p w14:paraId="731332F9" w14:textId="77777777" w:rsidR="00381460" w:rsidRDefault="0076302E">
      <w:r>
        <w:t>3. For Indigenous-participation defense packages, line up Gwaii Engineering (Indigenous-owned civil) as the participation + civil partner.</w:t>
      </w:r>
    </w:p>
    <w:p w14:paraId="429779AF" w14:textId="77777777" w:rsidR="00381460" w:rsidRDefault="0076302E">
      <w:r>
        <w:t>4. Confirm KOR's facility-security-clearance capability (Reliability / SECRET) — the recurring gate on structural-sub slots.</w:t>
      </w:r>
    </w:p>
    <w:sectPr w:rsidR="00381460">
      <w:pgSz w:w="12240" w:h="15840"/>
      <w:pgMar w:top="720" w:right="1080" w:bottom="72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81460"/>
    <w:rsid w:val="00381460"/>
    <w:rsid w:val="003D4B51"/>
    <w:rsid w:val="0076302E"/>
    <w:rsid w:val="00D9450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672248"/>
  <w15:docId w15:val="{F0E1248B-145B-4ADD-92EE-C8F18E9B9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40" w:lineRule="auto"/>
    </w:pPr>
    <w:rPr>
      <w:rFonts w:ascii="Calibri" w:hAnsi="Calibri"/>
      <w:sz w:val="20"/>
    </w:rPr>
  </w:style>
  <w:style w:type="paragraph" w:styleId="Heading1">
    <w:name w:val="heading 1"/>
    <w:basedOn w:val="Normal"/>
    <w:next w:val="Normal"/>
    <w:uiPriority w:val="9"/>
    <w:qFormat/>
    <w:pPr>
      <w:keepNext/>
      <w:pBdr>
        <w:bottom w:val="single" w:sz="12" w:space="2" w:color="FF5B35"/>
      </w:pBdr>
      <w:spacing w:after="160"/>
      <w:outlineLvl w:val="0"/>
    </w:pPr>
    <w:rPr>
      <w:b/>
      <w:color w:val="3F5364"/>
      <w:sz w:val="32"/>
    </w:rPr>
  </w:style>
  <w:style w:type="paragraph" w:styleId="Heading2">
    <w:name w:val="heading 2"/>
    <w:basedOn w:val="Normal"/>
    <w:next w:val="Normal"/>
    <w:uiPriority w:val="9"/>
    <w:unhideWhenUsed/>
    <w:qFormat/>
    <w:pPr>
      <w:keepNext/>
      <w:pBdr>
        <w:bottom w:val="single" w:sz="6" w:space="2" w:color="FF5B35"/>
      </w:pBdr>
      <w:spacing w:before="320"/>
      <w:outlineLvl w:val="1"/>
    </w:pPr>
    <w:rPr>
      <w:b/>
      <w:color w:val="3F5364"/>
      <w:sz w:val="24"/>
    </w:rPr>
  </w:style>
  <w:style w:type="paragraph" w:styleId="Heading3">
    <w:name w:val="heading 3"/>
    <w:basedOn w:val="Normal"/>
    <w:next w:val="Normal"/>
    <w:uiPriority w:val="9"/>
    <w:unhideWhenUsed/>
    <w:qFormat/>
    <w:pPr>
      <w:keepNext/>
      <w:spacing w:before="160" w:after="40"/>
      <w:outlineLvl w:val="2"/>
    </w:pPr>
    <w:rPr>
      <w:b/>
      <w:color w:val="3F5364"/>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3150</Words>
  <Characters>18936</Characters>
  <Application>Microsoft Office Word</Application>
  <DocSecurity>0</DocSecurity>
  <Lines>291</Lines>
  <Paragraphs>118</Paragraphs>
  <ScaleCrop>false</ScaleCrop>
  <Company/>
  <LinksUpToDate>false</LinksUpToDate>
  <CharactersWithSpaces>22140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Ian Lalonde</cp:lastModifiedBy>
  <cp:revision>2</cp:revision>
  <cp:lastPrinted>2026-06-23T20:02:00Z</cp:lastPrinted>
  <dcterms:created xsi:type="dcterms:W3CDTF">2026-06-23T20:02:00Z</dcterms:created>
  <dcterms:modified xsi:type="dcterms:W3CDTF">2026-06-23T20:02:00Z</dcterms:modified>
</cp:coreProperties>
</file>