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6177D" w14:textId="77777777" w:rsidR="0001207D" w:rsidRDefault="00423320">
      <w:pPr>
        <w:pStyle w:val="Heading1"/>
      </w:pPr>
      <w:r>
        <w:t>KOR Structural — Defense BD Report</w:t>
      </w:r>
    </w:p>
    <w:p w14:paraId="2ADFD1C1" w14:textId="77777777" w:rsidR="0001207D" w:rsidRDefault="00423320">
      <w:r>
        <w:rPr>
          <w:i/>
          <w:sz w:val="18"/>
        </w:rPr>
        <w:t>BC + Alberta defense and military construction pipeline, with named contacts and KOR action items. Verdicts: PURSUE_URGENT / PURSUE / MONITOR / DEAD / DISCOVER. PROMPT-driven Yurkovich-class error catch confirmed the original DB filter pulled false positives (schools, civic arenas, RCMP, First Nations commercial misclassified as defense) — re-categorization candidates are flagged inside the MONITOR/DEAD briefs. Generated 2026-06-23 20:31 UTC from live KorOpportunitiesDb honing verdicts.</w:t>
      </w:r>
    </w:p>
    <w:p w14:paraId="677EAD8E" w14:textId="77777777" w:rsidR="0001207D" w:rsidRDefault="00423320">
      <w:pPr>
        <w:pStyle w:val="Heading2"/>
      </w:pPr>
      <w:r>
        <w:t>Executive Summary</w:t>
      </w:r>
    </w:p>
    <w:tbl>
      <w:tblPr>
        <w:tblW w:w="0" w:type="auto"/>
        <w:tblCellSpacing w:w="40" w:type="dxa"/>
        <w:tblInd w:w="250" w:type="dxa"/>
        <w:tblCellMar>
          <w:left w:w="10" w:type="dxa"/>
          <w:right w:w="10" w:type="dxa"/>
        </w:tblCellMar>
        <w:tblLook w:val="0000" w:firstRow="0" w:lastRow="0" w:firstColumn="0" w:lastColumn="0" w:noHBand="0" w:noVBand="0"/>
      </w:tblPr>
      <w:tblGrid>
        <w:gridCol w:w="1546"/>
        <w:gridCol w:w="935"/>
        <w:gridCol w:w="912"/>
        <w:gridCol w:w="1032"/>
        <w:gridCol w:w="1075"/>
      </w:tblGrid>
      <w:tr w:rsidR="0001207D" w14:paraId="4B0E2771" w14:textId="77777777">
        <w:tblPrEx>
          <w:tblCellMar>
            <w:top w:w="0" w:type="dxa"/>
            <w:bottom w:w="0" w:type="dxa"/>
          </w:tblCellMar>
        </w:tblPrEx>
        <w:trPr>
          <w:tblCellSpacing w:w="40" w:type="dxa"/>
        </w:trPr>
        <w:tc>
          <w:tcPr>
            <w:tcW w:w="0" w:type="auto"/>
            <w:tcBorders>
              <w:top w:val="single" w:sz="24" w:space="0" w:color="FF5B35"/>
              <w:left w:val="single" w:sz="4" w:space="0" w:color="D5DAE0"/>
              <w:bottom w:val="single" w:sz="4" w:space="0" w:color="D5DAE0"/>
              <w:right w:val="single" w:sz="4" w:space="0" w:color="D5DAE0"/>
            </w:tcBorders>
            <w:tcMar>
              <w:top w:w="80" w:type="dxa"/>
              <w:left w:w="160" w:type="dxa"/>
              <w:bottom w:w="60" w:type="dxa"/>
              <w:right w:w="160" w:type="dxa"/>
            </w:tcMar>
          </w:tcPr>
          <w:p w14:paraId="01D515A1" w14:textId="77777777" w:rsidR="0001207D" w:rsidRDefault="00423320">
            <w:pPr>
              <w:spacing w:after="0"/>
            </w:pPr>
            <w:r>
              <w:rPr>
                <w:b/>
                <w:color w:val="3F5364"/>
                <w:sz w:val="40"/>
              </w:rPr>
              <w:t>8</w:t>
            </w:r>
          </w:p>
          <w:p w14:paraId="66AB6A52" w14:textId="77777777" w:rsidR="0001207D" w:rsidRDefault="00423320">
            <w:pPr>
              <w:spacing w:after="0"/>
            </w:pPr>
            <w:r>
              <w:rPr>
                <w:caps/>
                <w:color w:val="6B7280"/>
                <w:sz w:val="15"/>
              </w:rPr>
              <w:t>Projects honed</w:t>
            </w:r>
          </w:p>
        </w:tc>
        <w:tc>
          <w:tcPr>
            <w:tcW w:w="0" w:type="auto"/>
            <w:tcBorders>
              <w:top w:val="single" w:sz="24" w:space="0" w:color="C0392B"/>
              <w:left w:val="single" w:sz="4" w:space="0" w:color="D5DAE0"/>
              <w:bottom w:val="single" w:sz="4" w:space="0" w:color="D5DAE0"/>
              <w:right w:val="single" w:sz="4" w:space="0" w:color="D5DAE0"/>
            </w:tcBorders>
            <w:tcMar>
              <w:top w:w="80" w:type="dxa"/>
              <w:left w:w="160" w:type="dxa"/>
              <w:bottom w:w="60" w:type="dxa"/>
              <w:right w:w="160" w:type="dxa"/>
            </w:tcMar>
          </w:tcPr>
          <w:p w14:paraId="591ACBC5" w14:textId="77777777" w:rsidR="0001207D" w:rsidRDefault="00423320">
            <w:pPr>
              <w:spacing w:after="0"/>
            </w:pPr>
            <w:r>
              <w:rPr>
                <w:b/>
                <w:color w:val="C0392B"/>
                <w:sz w:val="40"/>
              </w:rPr>
              <w:t>3</w:t>
            </w:r>
          </w:p>
          <w:p w14:paraId="74081855" w14:textId="77777777" w:rsidR="0001207D" w:rsidRDefault="00423320">
            <w:pPr>
              <w:spacing w:after="0"/>
            </w:pPr>
            <w:r>
              <w:rPr>
                <w:caps/>
                <w:color w:val="6B7280"/>
                <w:sz w:val="15"/>
              </w:rPr>
              <w:t>Urgent</w:t>
            </w:r>
          </w:p>
        </w:tc>
        <w:tc>
          <w:tcPr>
            <w:tcW w:w="0" w:type="auto"/>
            <w:tcBorders>
              <w:top w:val="single" w:sz="24" w:space="0" w:color="1E8449"/>
              <w:left w:val="single" w:sz="4" w:space="0" w:color="D5DAE0"/>
              <w:bottom w:val="single" w:sz="4" w:space="0" w:color="D5DAE0"/>
              <w:right w:val="single" w:sz="4" w:space="0" w:color="D5DAE0"/>
            </w:tcBorders>
            <w:tcMar>
              <w:top w:w="80" w:type="dxa"/>
              <w:left w:w="160" w:type="dxa"/>
              <w:bottom w:w="60" w:type="dxa"/>
              <w:right w:w="160" w:type="dxa"/>
            </w:tcMar>
          </w:tcPr>
          <w:p w14:paraId="759A77ED" w14:textId="77777777" w:rsidR="0001207D" w:rsidRDefault="00423320">
            <w:pPr>
              <w:spacing w:after="0"/>
            </w:pPr>
            <w:r>
              <w:rPr>
                <w:b/>
                <w:color w:val="1E8449"/>
                <w:sz w:val="40"/>
              </w:rPr>
              <w:t>3</w:t>
            </w:r>
          </w:p>
          <w:p w14:paraId="41F7B376" w14:textId="77777777" w:rsidR="0001207D" w:rsidRDefault="00423320">
            <w:pPr>
              <w:spacing w:after="0"/>
            </w:pPr>
            <w:r>
              <w:rPr>
                <w:caps/>
                <w:color w:val="6B7280"/>
                <w:sz w:val="15"/>
              </w:rPr>
              <w:t>Pursue</w:t>
            </w:r>
          </w:p>
        </w:tc>
        <w:tc>
          <w:tcPr>
            <w:tcW w:w="0" w:type="auto"/>
            <w:tcBorders>
              <w:top w:val="single" w:sz="24" w:space="0" w:color="B7950B"/>
              <w:left w:val="single" w:sz="4" w:space="0" w:color="D5DAE0"/>
              <w:bottom w:val="single" w:sz="4" w:space="0" w:color="D5DAE0"/>
              <w:right w:val="single" w:sz="4" w:space="0" w:color="D5DAE0"/>
            </w:tcBorders>
            <w:tcMar>
              <w:top w:w="80" w:type="dxa"/>
              <w:left w:w="160" w:type="dxa"/>
              <w:bottom w:w="60" w:type="dxa"/>
              <w:right w:w="160" w:type="dxa"/>
            </w:tcMar>
          </w:tcPr>
          <w:p w14:paraId="56AC9327" w14:textId="77777777" w:rsidR="0001207D" w:rsidRDefault="00423320">
            <w:pPr>
              <w:spacing w:after="0"/>
            </w:pPr>
            <w:r>
              <w:rPr>
                <w:b/>
                <w:color w:val="B7950B"/>
                <w:sz w:val="40"/>
              </w:rPr>
              <w:t>2</w:t>
            </w:r>
          </w:p>
          <w:p w14:paraId="35961E7A" w14:textId="77777777" w:rsidR="0001207D" w:rsidRDefault="00423320">
            <w:pPr>
              <w:spacing w:after="0"/>
            </w:pPr>
            <w:r>
              <w:rPr>
                <w:caps/>
                <w:color w:val="6B7280"/>
                <w:sz w:val="15"/>
              </w:rPr>
              <w:t>Monitor</w:t>
            </w:r>
          </w:p>
        </w:tc>
        <w:tc>
          <w:tcPr>
            <w:tcW w:w="0" w:type="auto"/>
            <w:tcBorders>
              <w:top w:val="single" w:sz="24" w:space="0" w:color="2471A3"/>
              <w:left w:val="single" w:sz="4" w:space="0" w:color="D5DAE0"/>
              <w:bottom w:val="single" w:sz="4" w:space="0" w:color="D5DAE0"/>
              <w:right w:val="single" w:sz="4" w:space="0" w:color="D5DAE0"/>
            </w:tcBorders>
            <w:tcMar>
              <w:top w:w="80" w:type="dxa"/>
              <w:left w:w="160" w:type="dxa"/>
              <w:bottom w:w="60" w:type="dxa"/>
              <w:right w:w="160" w:type="dxa"/>
            </w:tcMar>
          </w:tcPr>
          <w:p w14:paraId="5B1C09F5" w14:textId="77777777" w:rsidR="0001207D" w:rsidRDefault="00423320">
            <w:pPr>
              <w:spacing w:after="0"/>
            </w:pPr>
            <w:r>
              <w:rPr>
                <w:b/>
                <w:color w:val="2471A3"/>
                <w:sz w:val="40"/>
              </w:rPr>
              <w:t>0</w:t>
            </w:r>
          </w:p>
          <w:p w14:paraId="5DB6DB76" w14:textId="77777777" w:rsidR="0001207D" w:rsidRDefault="00423320">
            <w:pPr>
              <w:spacing w:after="0"/>
            </w:pPr>
            <w:r>
              <w:rPr>
                <w:caps/>
                <w:color w:val="6B7280"/>
                <w:sz w:val="15"/>
              </w:rPr>
              <w:t>Discover</w:t>
            </w:r>
          </w:p>
        </w:tc>
      </w:tr>
    </w:tbl>
    <w:p w14:paraId="790BF144" w14:textId="77777777" w:rsidR="0001207D" w:rsidRDefault="0001207D"/>
    <w:p w14:paraId="5A33A806" w14:textId="77777777" w:rsidR="0001207D" w:rsidRDefault="00423320">
      <w:r>
        <w:rPr>
          <w:b/>
        </w:rPr>
        <w:t xml:space="preserve">DEAD — locked or delivered: </w:t>
      </w:r>
      <w:r>
        <w:t>0</w:t>
      </w:r>
    </w:p>
    <w:p w14:paraId="0AC1E4CB" w14:textId="77777777" w:rsidR="0001207D" w:rsidRDefault="00423320">
      <w:r>
        <w:rPr>
          <w:b/>
        </w:rPr>
        <w:t xml:space="preserve">DUPLICATE — flagged for MPI consolidation: </w:t>
      </w:r>
      <w:r>
        <w:t>0</w:t>
      </w:r>
    </w:p>
    <w:p w14:paraId="4B7307D4" w14:textId="77777777" w:rsidR="0001207D" w:rsidRDefault="00423320">
      <w:r>
        <w:t>Defense procurement reality: nearly everything flows through DCC (Defence Construction Canada) procurement gates, with CFHA (Canadian Forces Housing Agency) running the residential programs. Security clearance (Reliability or SECRET-level FSC) gates many structural sub slots — every PURSUE brief should be checked for clearance requirements before outreach. KOR's entry is almost always as structural sub on a design-build prime's team (EllisDon, PCL, Graham, Bird), not direct to DND.</w:t>
      </w:r>
    </w:p>
    <w:p w14:paraId="17001FD1" w14:textId="77777777" w:rsidR="0001207D" w:rsidRDefault="00423320">
      <w:pPr>
        <w:pStyle w:val="Heading2"/>
      </w:pPr>
      <w:r>
        <w:t>URGENT — IMMEDIATE action required</w:t>
      </w:r>
    </w:p>
    <w:p w14:paraId="7AD1598F" w14:textId="77777777" w:rsidR="0001207D" w:rsidRDefault="00423320">
      <w:pPr>
        <w:pStyle w:val="Heading3"/>
      </w:pPr>
      <w:r>
        <w:t>1. 19 Wing Comox CFHA Housing Phase 2</w:t>
      </w:r>
    </w:p>
    <w:p w14:paraId="4C65AB79" w14:textId="77777777" w:rsidR="0001207D" w:rsidRDefault="00423320">
      <w:r>
        <w:rPr>
          <w:i/>
          <w:sz w:val="18"/>
        </w:rPr>
        <w:t>Id 7163  ·  BC  ·  Proponent: Canadian Forces Housing Agency / Department of National Defence  ·  Status: PURSUE URGENT — SAME LIVE RFP as 7162. Identical action required. Bundle Comox + Esquimalt in one prime conversation.</w:t>
      </w:r>
    </w:p>
    <w:p w14:paraId="737029C7" w14:textId="77777777" w:rsidR="0001207D" w:rsidRDefault="00423320">
      <w:r>
        <w:t>Same RFP as Esquimalt (7162) — bundle both in one prime contact conversation. Total combined value: $184-232M across 420 units. Additionally, 19 Wing Comox is KOR's highest DCC base relationship: CMMA Hangar (7161, $253M), CFHA Housing (7163, $93-116M), RPAS facility (6443), and Simulator Facility (CX24CMMA-81658, $18.2M) all in flight simultaneously. One strong DCC Pacific / 19 Wing relationship unlocks all four programs.</w:t>
      </w:r>
    </w:p>
    <w:p w14:paraId="30FFBBEB" w14:textId="77777777" w:rsidR="0001207D" w:rsidRDefault="00423320">
      <w:pPr>
        <w:pStyle w:val="Heading3"/>
      </w:pPr>
      <w:r>
        <w:t>2. 19 Wing Comox CMMA Hangar</w:t>
      </w:r>
    </w:p>
    <w:p w14:paraId="5DD8ED54" w14:textId="77777777" w:rsidR="0001207D" w:rsidRDefault="00423320">
      <w:r>
        <w:rPr>
          <w:i/>
          <w:sz w:val="18"/>
        </w:rPr>
        <w:t>Id 7161  ·  BC  ·  Proponent: Department of National Defence (via DCC)  ·  Status: PURSUE URGENT — award almost certainly made. Contact DCC Pacific (Danny Gruner) this week to confirm winning prime. Then contact prime immediately for structural sub role. Also pursue CMMA Simulator Facility (CX24CMMA-81658, $18.2M) as a parallel DCC Comox opportunity.</w:t>
      </w:r>
    </w:p>
    <w:p w14:paraId="661589E1" w14:textId="77777777" w:rsidR="0001207D" w:rsidRDefault="00423320">
      <w:r>
        <w:t xml:space="preserve">Largest DCC Pacific project in the pipeline at $253M. Bid closed 12 months ago — prime team is almost certainly selected. The winning prime is currently selecting sub-consultants for construction. CRITICAL: call Danny Gruner (DCC Pacific) today to identify the awarded prime, then call that prime immediately. Parallel opportunity: CMMA Simulator Facility (CX24CMMA-81658, $18.2M MDB) also in procurement — same DCC Pacific procurement team, same Comox base, potentially same prime. Bundle both opportunities in </w:t>
      </w:r>
      <w:r>
        <w:t>single DCC/prime conversation. SECRET clearance is gating — confirm KOR PSPC clearance l</w:t>
      </w:r>
    </w:p>
    <w:p w14:paraId="635758D3" w14:textId="77777777" w:rsidR="0001207D" w:rsidRDefault="00423320">
      <w:pPr>
        <w:pStyle w:val="Heading3"/>
      </w:pPr>
      <w:r>
        <w:t>3. CFB Esquimalt CFHA 120 Units</w:t>
      </w:r>
    </w:p>
    <w:p w14:paraId="28F7798F" w14:textId="77777777" w:rsidR="0001207D" w:rsidRDefault="00423320">
      <w:r>
        <w:rPr>
          <w:i/>
          <w:sz w:val="18"/>
        </w:rPr>
        <w:t>Id 7162  ·  BC  ·  Proponent: Canadian Forces Housing Agency / Department of National Defence  ·  Status: PURSUE URGENT — LIVE RFP CLOSING IN 18 DAYS. Check MERX PR26RCIP_Pacific immediately. Contact design-build primes bidding this RFP today. Bundle with Comox (7163) — same RFP.</w:t>
      </w:r>
    </w:p>
    <w:p w14:paraId="38FF33CC" w14:textId="77777777" w:rsidR="0001207D" w:rsidRDefault="00423320">
      <w:r>
        <w:t>Most urgent active procurement in KOR's BC pipeline. RFP closes June 30 — 18 days. One MERX RFP covers both Esquimalt (208 units, $91-116M) and Comox (212 units, $93-116M) — total $184-232M combined. Design-build primes are assembling their teams right now. KOR must contact PCL, Bird, EllisDon, Pomerleau, Naturis, and any other DCC Pacific CFHA housing primes IMMEDIATELY to register as structural sub on their bid. Bundle Esquimalt + Comox in one conversation per prime.</w:t>
      </w:r>
    </w:p>
    <w:p w14:paraId="3172F293" w14:textId="77777777" w:rsidR="0001207D" w:rsidRDefault="00423320">
      <w:pPr>
        <w:pStyle w:val="Heading2"/>
      </w:pPr>
      <w:r>
        <w:t>PURSUE — Open opportunities (not yet urgent)</w:t>
      </w:r>
    </w:p>
    <w:tbl>
      <w:tblPr>
        <w:tblW w:w="5000" w:type="pct"/>
        <w:tblInd w:w="1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000" w:firstRow="0" w:lastRow="0" w:firstColumn="0" w:lastColumn="0" w:noHBand="0" w:noVBand="0"/>
      </w:tblPr>
      <w:tblGrid>
        <w:gridCol w:w="365"/>
        <w:gridCol w:w="1121"/>
        <w:gridCol w:w="1151"/>
        <w:gridCol w:w="630"/>
        <w:gridCol w:w="327"/>
        <w:gridCol w:w="6506"/>
      </w:tblGrid>
      <w:tr w:rsidR="0001207D" w14:paraId="4E88B7B9" w14:textId="77777777">
        <w:tblPrEx>
          <w:tblCellMar>
            <w:top w:w="0" w:type="dxa"/>
            <w:bottom w:w="0" w:type="dxa"/>
          </w:tblCellMar>
        </w:tblPrEx>
        <w:tc>
          <w:tcPr>
            <w:tcW w:w="0" w:type="auto"/>
            <w:shd w:val="clear" w:color="auto" w:fill="3F5364"/>
          </w:tcPr>
          <w:p w14:paraId="21D0C699" w14:textId="77777777" w:rsidR="0001207D" w:rsidRDefault="00423320">
            <w:pPr>
              <w:spacing w:after="0"/>
              <w:jc w:val="right"/>
            </w:pPr>
            <w:r>
              <w:rPr>
                <w:b/>
                <w:color w:val="FFFFFF"/>
                <w:sz w:val="17"/>
              </w:rPr>
              <w:t>Id</w:t>
            </w:r>
          </w:p>
        </w:tc>
        <w:tc>
          <w:tcPr>
            <w:tcW w:w="0" w:type="auto"/>
            <w:shd w:val="clear" w:color="auto" w:fill="3F5364"/>
          </w:tcPr>
          <w:p w14:paraId="615FA336" w14:textId="77777777" w:rsidR="0001207D" w:rsidRDefault="00423320">
            <w:pPr>
              <w:spacing w:after="0"/>
            </w:pPr>
            <w:r>
              <w:rPr>
                <w:b/>
                <w:color w:val="FFFFFF"/>
                <w:sz w:val="17"/>
              </w:rPr>
              <w:t>Project</w:t>
            </w:r>
          </w:p>
        </w:tc>
        <w:tc>
          <w:tcPr>
            <w:tcW w:w="0" w:type="auto"/>
            <w:shd w:val="clear" w:color="auto" w:fill="3F5364"/>
          </w:tcPr>
          <w:p w14:paraId="2D054155" w14:textId="77777777" w:rsidR="0001207D" w:rsidRDefault="00423320">
            <w:pPr>
              <w:spacing w:after="0"/>
            </w:pPr>
            <w:r>
              <w:rPr>
                <w:b/>
                <w:color w:val="FFFFFF"/>
                <w:sz w:val="17"/>
              </w:rPr>
              <w:t>Proponent</w:t>
            </w:r>
          </w:p>
        </w:tc>
        <w:tc>
          <w:tcPr>
            <w:tcW w:w="0" w:type="auto"/>
            <w:shd w:val="clear" w:color="auto" w:fill="3F5364"/>
          </w:tcPr>
          <w:p w14:paraId="3DA8373D" w14:textId="77777777" w:rsidR="0001207D" w:rsidRDefault="00423320">
            <w:pPr>
              <w:spacing w:after="0"/>
            </w:pPr>
            <w:r>
              <w:rPr>
                <w:b/>
                <w:color w:val="FFFFFF"/>
                <w:sz w:val="17"/>
              </w:rPr>
              <w:t>Province</w:t>
            </w:r>
          </w:p>
        </w:tc>
        <w:tc>
          <w:tcPr>
            <w:tcW w:w="0" w:type="auto"/>
            <w:shd w:val="clear" w:color="auto" w:fill="3F5364"/>
          </w:tcPr>
          <w:p w14:paraId="795C056F" w14:textId="77777777" w:rsidR="0001207D" w:rsidRDefault="00423320">
            <w:pPr>
              <w:spacing w:after="0"/>
              <w:jc w:val="right"/>
            </w:pPr>
            <w:r>
              <w:rPr>
                <w:b/>
                <w:color w:val="FFFFFF"/>
                <w:sz w:val="17"/>
              </w:rPr>
              <w:t>Cost</w:t>
            </w:r>
          </w:p>
        </w:tc>
        <w:tc>
          <w:tcPr>
            <w:tcW w:w="0" w:type="auto"/>
            <w:shd w:val="clear" w:color="auto" w:fill="3F5364"/>
          </w:tcPr>
          <w:p w14:paraId="5A497134" w14:textId="77777777" w:rsidR="0001207D" w:rsidRDefault="00423320">
            <w:pPr>
              <w:spacing w:after="0"/>
            </w:pPr>
            <w:r>
              <w:rPr>
                <w:b/>
                <w:color w:val="FFFFFF"/>
                <w:sz w:val="17"/>
              </w:rPr>
              <w:t>Why PURSUE</w:t>
            </w:r>
          </w:p>
        </w:tc>
      </w:tr>
      <w:tr w:rsidR="0001207D" w14:paraId="460937D5" w14:textId="77777777">
        <w:tblPrEx>
          <w:tblCellMar>
            <w:top w:w="0" w:type="dxa"/>
            <w:bottom w:w="0" w:type="dxa"/>
          </w:tblCellMar>
        </w:tblPrEx>
        <w:tc>
          <w:tcPr>
            <w:tcW w:w="0" w:type="auto"/>
          </w:tcPr>
          <w:p w14:paraId="6DFD1A42" w14:textId="77777777" w:rsidR="0001207D" w:rsidRDefault="00423320">
            <w:pPr>
              <w:spacing w:after="0"/>
              <w:jc w:val="right"/>
            </w:pPr>
            <w:r>
              <w:rPr>
                <w:sz w:val="17"/>
              </w:rPr>
              <w:t>7166</w:t>
            </w:r>
          </w:p>
        </w:tc>
        <w:tc>
          <w:tcPr>
            <w:tcW w:w="0" w:type="auto"/>
          </w:tcPr>
          <w:p w14:paraId="21E53EF4" w14:textId="77777777" w:rsidR="0001207D" w:rsidRDefault="00423320">
            <w:pPr>
              <w:spacing w:after="0"/>
            </w:pPr>
            <w:r>
              <w:rPr>
                <w:sz w:val="17"/>
              </w:rPr>
              <w:t xml:space="preserve">CFB Edmonton CFHA Housing </w:t>
            </w:r>
            <w:r>
              <w:rPr>
                <w:sz w:val="17"/>
              </w:rPr>
              <w:lastRenderedPageBreak/>
              <w:t>Phase 2</w:t>
            </w:r>
          </w:p>
        </w:tc>
        <w:tc>
          <w:tcPr>
            <w:tcW w:w="0" w:type="auto"/>
          </w:tcPr>
          <w:p w14:paraId="72ACDC8C" w14:textId="77777777" w:rsidR="0001207D" w:rsidRDefault="00423320">
            <w:pPr>
              <w:spacing w:after="0"/>
            </w:pPr>
            <w:r>
              <w:rPr>
                <w:sz w:val="17"/>
              </w:rPr>
              <w:lastRenderedPageBreak/>
              <w:t>Canadian Forces Housing Agency</w:t>
            </w:r>
          </w:p>
        </w:tc>
        <w:tc>
          <w:tcPr>
            <w:tcW w:w="0" w:type="auto"/>
          </w:tcPr>
          <w:p w14:paraId="6C95D2C1" w14:textId="77777777" w:rsidR="0001207D" w:rsidRDefault="00423320">
            <w:pPr>
              <w:spacing w:after="0"/>
            </w:pPr>
            <w:r>
              <w:rPr>
                <w:sz w:val="17"/>
              </w:rPr>
              <w:t>AB</w:t>
            </w:r>
          </w:p>
        </w:tc>
        <w:tc>
          <w:tcPr>
            <w:tcW w:w="0" w:type="auto"/>
          </w:tcPr>
          <w:p w14:paraId="4AC32588" w14:textId="77777777" w:rsidR="0001207D" w:rsidRDefault="0001207D">
            <w:pPr>
              <w:spacing w:after="0"/>
              <w:jc w:val="right"/>
            </w:pPr>
          </w:p>
        </w:tc>
        <w:tc>
          <w:tcPr>
            <w:tcW w:w="0" w:type="auto"/>
          </w:tcPr>
          <w:p w14:paraId="3B83B024" w14:textId="77777777" w:rsidR="0001207D" w:rsidRDefault="00423320">
            <w:pPr>
              <w:spacing w:after="0"/>
            </w:pPr>
            <w:r>
              <w:rPr>
                <w:sz w:val="17"/>
              </w:rPr>
              <w:t xml:space="preserve">Phase 2 RFP now expected Fall 2026. Bird Construction built Phase 1 and is the incumbent relationship — contact Bird Edmonton about Phase 2 CFHA bid. $459M across ~1,010 units = </w:t>
            </w:r>
            <w:r>
              <w:rPr>
                <w:sz w:val="17"/>
              </w:rPr>
              <w:lastRenderedPageBreak/>
              <w:t>multiple structural packages. KOR Edmonton office is ideal. Also: the DCC Phase 2 Housing information session slides (DCC website) confirm Edmonton is one of 25 Phase 2 locations — check the slide deck for procurement time</w:t>
            </w:r>
          </w:p>
        </w:tc>
      </w:tr>
      <w:tr w:rsidR="0001207D" w14:paraId="6E46FD79" w14:textId="77777777">
        <w:tblPrEx>
          <w:tblCellMar>
            <w:top w:w="0" w:type="dxa"/>
            <w:bottom w:w="0" w:type="dxa"/>
          </w:tblCellMar>
        </w:tblPrEx>
        <w:tc>
          <w:tcPr>
            <w:tcW w:w="0" w:type="auto"/>
            <w:shd w:val="clear" w:color="auto" w:fill="F4F6F8"/>
          </w:tcPr>
          <w:p w14:paraId="6AAFCFA7" w14:textId="77777777" w:rsidR="0001207D" w:rsidRDefault="00423320">
            <w:pPr>
              <w:spacing w:after="0"/>
              <w:jc w:val="right"/>
            </w:pPr>
            <w:r>
              <w:rPr>
                <w:sz w:val="17"/>
              </w:rPr>
              <w:lastRenderedPageBreak/>
              <w:t>6443</w:t>
            </w:r>
          </w:p>
        </w:tc>
        <w:tc>
          <w:tcPr>
            <w:tcW w:w="0" w:type="auto"/>
            <w:shd w:val="clear" w:color="auto" w:fill="F4F6F8"/>
          </w:tcPr>
          <w:p w14:paraId="75BE1B5F" w14:textId="77777777" w:rsidR="0001207D" w:rsidRDefault="00423320">
            <w:pPr>
              <w:spacing w:after="0"/>
            </w:pPr>
            <w:r>
              <w:rPr>
                <w:sz w:val="17"/>
              </w:rPr>
              <w:t>Comox DoD Yellow Ridge Bid</w:t>
            </w:r>
          </w:p>
        </w:tc>
        <w:tc>
          <w:tcPr>
            <w:tcW w:w="0" w:type="auto"/>
            <w:shd w:val="clear" w:color="auto" w:fill="F4F6F8"/>
          </w:tcPr>
          <w:p w14:paraId="192D0652" w14:textId="77777777" w:rsidR="0001207D" w:rsidRDefault="00423320">
            <w:pPr>
              <w:spacing w:after="0"/>
            </w:pPr>
            <w:r>
              <w:rPr>
                <w:sz w:val="17"/>
              </w:rPr>
              <w:t>Department of National Defence</w:t>
            </w:r>
          </w:p>
        </w:tc>
        <w:tc>
          <w:tcPr>
            <w:tcW w:w="0" w:type="auto"/>
            <w:shd w:val="clear" w:color="auto" w:fill="F4F6F8"/>
          </w:tcPr>
          <w:p w14:paraId="6F584689" w14:textId="77777777" w:rsidR="0001207D" w:rsidRDefault="00423320">
            <w:pPr>
              <w:spacing w:after="0"/>
            </w:pPr>
            <w:r>
              <w:rPr>
                <w:sz w:val="17"/>
              </w:rPr>
              <w:t>BC</w:t>
            </w:r>
          </w:p>
        </w:tc>
        <w:tc>
          <w:tcPr>
            <w:tcW w:w="0" w:type="auto"/>
            <w:shd w:val="clear" w:color="auto" w:fill="F4F6F8"/>
          </w:tcPr>
          <w:p w14:paraId="2896F24D" w14:textId="77777777" w:rsidR="0001207D" w:rsidRDefault="0001207D">
            <w:pPr>
              <w:spacing w:after="0"/>
              <w:jc w:val="right"/>
            </w:pPr>
          </w:p>
        </w:tc>
        <w:tc>
          <w:tcPr>
            <w:tcW w:w="0" w:type="auto"/>
            <w:shd w:val="clear" w:color="auto" w:fill="F4F6F8"/>
          </w:tcPr>
          <w:p w14:paraId="41DA499E" w14:textId="77777777" w:rsidR="0001207D" w:rsidRDefault="00423320">
            <w:pPr>
              <w:spacing w:after="0"/>
            </w:pPr>
            <w:r>
              <w:rPr>
                <w:sz w:val="17"/>
              </w:rPr>
              <w:t>PURSUE — RFP imminent mid-2026. Bundle with 7161 (CMMA Hangar) and 7163 (CFHA Housing) in 19 Wing Comox / DCC Pacific relationship. Hangar steel structure with specialized RPAS requirements = KOR specialty. Contact DCC Pacific (Danny Gruner) for RFP status.</w:t>
            </w:r>
          </w:p>
        </w:tc>
      </w:tr>
      <w:tr w:rsidR="0001207D" w14:paraId="3B66F235" w14:textId="77777777">
        <w:tblPrEx>
          <w:tblCellMar>
            <w:top w:w="0" w:type="dxa"/>
            <w:bottom w:w="0" w:type="dxa"/>
          </w:tblCellMar>
        </w:tblPrEx>
        <w:tc>
          <w:tcPr>
            <w:tcW w:w="0" w:type="auto"/>
          </w:tcPr>
          <w:p w14:paraId="34770B4F" w14:textId="77777777" w:rsidR="0001207D" w:rsidRDefault="00423320">
            <w:pPr>
              <w:spacing w:after="0"/>
              <w:jc w:val="right"/>
            </w:pPr>
            <w:r>
              <w:rPr>
                <w:sz w:val="17"/>
              </w:rPr>
              <w:t>6442</w:t>
            </w:r>
          </w:p>
        </w:tc>
        <w:tc>
          <w:tcPr>
            <w:tcW w:w="0" w:type="auto"/>
          </w:tcPr>
          <w:p w14:paraId="55F9B562" w14:textId="77777777" w:rsidR="0001207D" w:rsidRDefault="00423320">
            <w:pPr>
              <w:spacing w:after="0"/>
            </w:pPr>
            <w:r>
              <w:rPr>
                <w:sz w:val="17"/>
              </w:rPr>
              <w:t>Esquimalt DoD Project</w:t>
            </w:r>
          </w:p>
        </w:tc>
        <w:tc>
          <w:tcPr>
            <w:tcW w:w="0" w:type="auto"/>
          </w:tcPr>
          <w:p w14:paraId="67B048B7" w14:textId="77777777" w:rsidR="0001207D" w:rsidRDefault="00423320">
            <w:pPr>
              <w:spacing w:after="0"/>
            </w:pPr>
            <w:r>
              <w:rPr>
                <w:sz w:val="17"/>
              </w:rPr>
              <w:t>Department of National Defence</w:t>
            </w:r>
          </w:p>
        </w:tc>
        <w:tc>
          <w:tcPr>
            <w:tcW w:w="0" w:type="auto"/>
          </w:tcPr>
          <w:p w14:paraId="70E285B2" w14:textId="77777777" w:rsidR="0001207D" w:rsidRDefault="00423320">
            <w:pPr>
              <w:spacing w:after="0"/>
            </w:pPr>
            <w:r>
              <w:rPr>
                <w:sz w:val="17"/>
              </w:rPr>
              <w:t>BC</w:t>
            </w:r>
          </w:p>
        </w:tc>
        <w:tc>
          <w:tcPr>
            <w:tcW w:w="0" w:type="auto"/>
          </w:tcPr>
          <w:p w14:paraId="3D2FE91D" w14:textId="77777777" w:rsidR="0001207D" w:rsidRDefault="0001207D">
            <w:pPr>
              <w:spacing w:after="0"/>
              <w:jc w:val="right"/>
            </w:pPr>
          </w:p>
        </w:tc>
        <w:tc>
          <w:tcPr>
            <w:tcW w:w="0" w:type="auto"/>
          </w:tcPr>
          <w:p w14:paraId="720EC34A" w14:textId="77777777" w:rsidR="0001207D" w:rsidRDefault="00423320">
            <w:pPr>
              <w:spacing w:after="0"/>
            </w:pPr>
            <w:r>
              <w:rPr>
                <w:sz w:val="17"/>
              </w:rPr>
              <w:t>PURSUE — contact EllisDon design team lead immediately to identify SE sub-consultant for JNCM Facility. 31,700 m2 / $165M = major structural scope. If SE not yet appointed, pitch KOR. Build DCC/EllisDon relationship for future DND Victoria projects.</w:t>
            </w:r>
          </w:p>
        </w:tc>
      </w:tr>
    </w:tbl>
    <w:p w14:paraId="7766ACB3" w14:textId="77777777" w:rsidR="0001207D" w:rsidRDefault="0001207D"/>
    <w:p w14:paraId="38FC39E0" w14:textId="77777777" w:rsidR="0001207D" w:rsidRDefault="00423320">
      <w:pPr>
        <w:pStyle w:val="Heading2"/>
      </w:pPr>
      <w:r>
        <w:t>MONITOR — Current phase locked, future phases open</w:t>
      </w:r>
    </w:p>
    <w:tbl>
      <w:tblPr>
        <w:tblW w:w="5000" w:type="pct"/>
        <w:tblInd w:w="10"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000" w:firstRow="0" w:lastRow="0" w:firstColumn="0" w:lastColumn="0" w:noHBand="0" w:noVBand="0"/>
      </w:tblPr>
      <w:tblGrid>
        <w:gridCol w:w="365"/>
        <w:gridCol w:w="1545"/>
        <w:gridCol w:w="1833"/>
        <w:gridCol w:w="630"/>
        <w:gridCol w:w="327"/>
        <w:gridCol w:w="5400"/>
      </w:tblGrid>
      <w:tr w:rsidR="0001207D" w14:paraId="594BDF78" w14:textId="77777777">
        <w:tblPrEx>
          <w:tblCellMar>
            <w:top w:w="0" w:type="dxa"/>
            <w:bottom w:w="0" w:type="dxa"/>
          </w:tblCellMar>
        </w:tblPrEx>
        <w:tc>
          <w:tcPr>
            <w:tcW w:w="0" w:type="auto"/>
            <w:shd w:val="clear" w:color="auto" w:fill="3F5364"/>
          </w:tcPr>
          <w:p w14:paraId="3F45211D" w14:textId="77777777" w:rsidR="0001207D" w:rsidRDefault="00423320">
            <w:pPr>
              <w:spacing w:after="0"/>
              <w:jc w:val="right"/>
            </w:pPr>
            <w:r>
              <w:rPr>
                <w:b/>
                <w:color w:val="FFFFFF"/>
                <w:sz w:val="17"/>
              </w:rPr>
              <w:t>Id</w:t>
            </w:r>
          </w:p>
        </w:tc>
        <w:tc>
          <w:tcPr>
            <w:tcW w:w="0" w:type="auto"/>
            <w:shd w:val="clear" w:color="auto" w:fill="3F5364"/>
          </w:tcPr>
          <w:p w14:paraId="5A142E19" w14:textId="77777777" w:rsidR="0001207D" w:rsidRDefault="00423320">
            <w:pPr>
              <w:spacing w:after="0"/>
            </w:pPr>
            <w:r>
              <w:rPr>
                <w:b/>
                <w:color w:val="FFFFFF"/>
                <w:sz w:val="17"/>
              </w:rPr>
              <w:t>Project</w:t>
            </w:r>
          </w:p>
        </w:tc>
        <w:tc>
          <w:tcPr>
            <w:tcW w:w="0" w:type="auto"/>
            <w:shd w:val="clear" w:color="auto" w:fill="3F5364"/>
          </w:tcPr>
          <w:p w14:paraId="533969BF" w14:textId="77777777" w:rsidR="0001207D" w:rsidRDefault="00423320">
            <w:pPr>
              <w:spacing w:after="0"/>
            </w:pPr>
            <w:r>
              <w:rPr>
                <w:b/>
                <w:color w:val="FFFFFF"/>
                <w:sz w:val="17"/>
              </w:rPr>
              <w:t>Proponent</w:t>
            </w:r>
          </w:p>
        </w:tc>
        <w:tc>
          <w:tcPr>
            <w:tcW w:w="0" w:type="auto"/>
            <w:shd w:val="clear" w:color="auto" w:fill="3F5364"/>
          </w:tcPr>
          <w:p w14:paraId="5C9A971B" w14:textId="77777777" w:rsidR="0001207D" w:rsidRDefault="00423320">
            <w:pPr>
              <w:spacing w:after="0"/>
            </w:pPr>
            <w:r>
              <w:rPr>
                <w:b/>
                <w:color w:val="FFFFFF"/>
                <w:sz w:val="17"/>
              </w:rPr>
              <w:t>Province</w:t>
            </w:r>
          </w:p>
        </w:tc>
        <w:tc>
          <w:tcPr>
            <w:tcW w:w="0" w:type="auto"/>
            <w:shd w:val="clear" w:color="auto" w:fill="3F5364"/>
          </w:tcPr>
          <w:p w14:paraId="31A3D508" w14:textId="77777777" w:rsidR="0001207D" w:rsidRDefault="00423320">
            <w:pPr>
              <w:spacing w:after="0"/>
              <w:jc w:val="right"/>
            </w:pPr>
            <w:r>
              <w:rPr>
                <w:b/>
                <w:color w:val="FFFFFF"/>
                <w:sz w:val="17"/>
              </w:rPr>
              <w:t>Cost</w:t>
            </w:r>
          </w:p>
        </w:tc>
        <w:tc>
          <w:tcPr>
            <w:tcW w:w="0" w:type="auto"/>
            <w:shd w:val="clear" w:color="auto" w:fill="3F5364"/>
          </w:tcPr>
          <w:p w14:paraId="75304ECC" w14:textId="77777777" w:rsidR="0001207D" w:rsidRDefault="00423320">
            <w:pPr>
              <w:spacing w:after="0"/>
            </w:pPr>
            <w:r>
              <w:rPr>
                <w:b/>
                <w:color w:val="FFFFFF"/>
                <w:sz w:val="17"/>
              </w:rPr>
              <w:t>Why MONITOR</w:t>
            </w:r>
          </w:p>
        </w:tc>
      </w:tr>
      <w:tr w:rsidR="0001207D" w14:paraId="73B5F732" w14:textId="77777777">
        <w:tblPrEx>
          <w:tblCellMar>
            <w:top w:w="0" w:type="dxa"/>
            <w:bottom w:w="0" w:type="dxa"/>
          </w:tblCellMar>
        </w:tblPrEx>
        <w:tc>
          <w:tcPr>
            <w:tcW w:w="0" w:type="auto"/>
          </w:tcPr>
          <w:p w14:paraId="4EC8E612" w14:textId="77777777" w:rsidR="0001207D" w:rsidRDefault="00423320">
            <w:pPr>
              <w:spacing w:after="0"/>
              <w:jc w:val="right"/>
            </w:pPr>
            <w:r>
              <w:rPr>
                <w:sz w:val="17"/>
              </w:rPr>
              <w:t>7165</w:t>
            </w:r>
          </w:p>
        </w:tc>
        <w:tc>
          <w:tcPr>
            <w:tcW w:w="0" w:type="auto"/>
          </w:tcPr>
          <w:p w14:paraId="0C2F1476" w14:textId="77777777" w:rsidR="0001207D" w:rsidRDefault="00423320">
            <w:pPr>
              <w:spacing w:after="0"/>
            </w:pPr>
            <w:r>
              <w:rPr>
                <w:sz w:val="17"/>
              </w:rPr>
              <w:t>DRDC Suffield Lab Expansion</w:t>
            </w:r>
          </w:p>
        </w:tc>
        <w:tc>
          <w:tcPr>
            <w:tcW w:w="0" w:type="auto"/>
          </w:tcPr>
          <w:p w14:paraId="0530B721" w14:textId="77777777" w:rsidR="0001207D" w:rsidRDefault="00423320">
            <w:pPr>
              <w:spacing w:after="0"/>
            </w:pPr>
            <w:r>
              <w:rPr>
                <w:sz w:val="17"/>
              </w:rPr>
              <w:t>Defence Research and Developme</w:t>
            </w:r>
          </w:p>
        </w:tc>
        <w:tc>
          <w:tcPr>
            <w:tcW w:w="0" w:type="auto"/>
          </w:tcPr>
          <w:p w14:paraId="38EE32AC" w14:textId="77777777" w:rsidR="0001207D" w:rsidRDefault="00423320">
            <w:pPr>
              <w:spacing w:after="0"/>
            </w:pPr>
            <w:r>
              <w:rPr>
                <w:sz w:val="17"/>
              </w:rPr>
              <w:t>AB</w:t>
            </w:r>
          </w:p>
        </w:tc>
        <w:tc>
          <w:tcPr>
            <w:tcW w:w="0" w:type="auto"/>
          </w:tcPr>
          <w:p w14:paraId="251AC77A" w14:textId="77777777" w:rsidR="0001207D" w:rsidRDefault="0001207D">
            <w:pPr>
              <w:spacing w:after="0"/>
              <w:jc w:val="right"/>
            </w:pPr>
          </w:p>
        </w:tc>
        <w:tc>
          <w:tcPr>
            <w:tcW w:w="0" w:type="auto"/>
          </w:tcPr>
          <w:p w14:paraId="0F6368BE" w14:textId="77777777" w:rsidR="0001207D" w:rsidRDefault="00423320">
            <w:pPr>
              <w:spacing w:after="0"/>
            </w:pPr>
            <w:r>
              <w:rPr>
                <w:sz w:val="17"/>
              </w:rPr>
              <w:t>MONITOR — this project has either been quietly awarded to a design-build prime (who has embedded their structu</w:t>
            </w:r>
          </w:p>
        </w:tc>
      </w:tr>
      <w:tr w:rsidR="0001207D" w14:paraId="63EA335B" w14:textId="77777777">
        <w:tblPrEx>
          <w:tblCellMar>
            <w:top w:w="0" w:type="dxa"/>
            <w:bottom w:w="0" w:type="dxa"/>
          </w:tblCellMar>
        </w:tblPrEx>
        <w:tc>
          <w:tcPr>
            <w:tcW w:w="0" w:type="auto"/>
            <w:shd w:val="clear" w:color="auto" w:fill="F4F6F8"/>
          </w:tcPr>
          <w:p w14:paraId="26D91F85" w14:textId="77777777" w:rsidR="0001207D" w:rsidRDefault="00423320">
            <w:pPr>
              <w:spacing w:after="0"/>
              <w:jc w:val="right"/>
            </w:pPr>
            <w:r>
              <w:rPr>
                <w:sz w:val="17"/>
              </w:rPr>
              <w:t>7164</w:t>
            </w:r>
          </w:p>
        </w:tc>
        <w:tc>
          <w:tcPr>
            <w:tcW w:w="0" w:type="auto"/>
            <w:shd w:val="clear" w:color="auto" w:fill="F4F6F8"/>
          </w:tcPr>
          <w:p w14:paraId="729AE996" w14:textId="77777777" w:rsidR="0001207D" w:rsidRDefault="00423320">
            <w:pPr>
              <w:spacing w:after="0"/>
            </w:pPr>
            <w:r>
              <w:rPr>
                <w:sz w:val="17"/>
              </w:rPr>
              <w:t>STTCP MOB West Edmonton</w:t>
            </w:r>
          </w:p>
        </w:tc>
        <w:tc>
          <w:tcPr>
            <w:tcW w:w="0" w:type="auto"/>
            <w:shd w:val="clear" w:color="auto" w:fill="F4F6F8"/>
          </w:tcPr>
          <w:p w14:paraId="3C000924" w14:textId="77777777" w:rsidR="0001207D" w:rsidRDefault="00423320">
            <w:pPr>
              <w:spacing w:after="0"/>
            </w:pPr>
            <w:r>
              <w:rPr>
                <w:sz w:val="17"/>
              </w:rPr>
              <w:t>Department of National Defence</w:t>
            </w:r>
          </w:p>
        </w:tc>
        <w:tc>
          <w:tcPr>
            <w:tcW w:w="0" w:type="auto"/>
            <w:shd w:val="clear" w:color="auto" w:fill="F4F6F8"/>
          </w:tcPr>
          <w:p w14:paraId="686B8869" w14:textId="77777777" w:rsidR="0001207D" w:rsidRDefault="00423320">
            <w:pPr>
              <w:spacing w:after="0"/>
            </w:pPr>
            <w:r>
              <w:rPr>
                <w:sz w:val="17"/>
              </w:rPr>
              <w:t>AB</w:t>
            </w:r>
          </w:p>
        </w:tc>
        <w:tc>
          <w:tcPr>
            <w:tcW w:w="0" w:type="auto"/>
            <w:shd w:val="clear" w:color="auto" w:fill="F4F6F8"/>
          </w:tcPr>
          <w:p w14:paraId="005D184A" w14:textId="77777777" w:rsidR="0001207D" w:rsidRDefault="0001207D">
            <w:pPr>
              <w:spacing w:after="0"/>
              <w:jc w:val="right"/>
            </w:pPr>
          </w:p>
        </w:tc>
        <w:tc>
          <w:tcPr>
            <w:tcW w:w="0" w:type="auto"/>
            <w:shd w:val="clear" w:color="auto" w:fill="F4F6F8"/>
          </w:tcPr>
          <w:p w14:paraId="0E7970D4" w14:textId="77777777" w:rsidR="0001207D" w:rsidRDefault="00423320">
            <w:pPr>
              <w:spacing w:after="0"/>
            </w:pPr>
            <w:r>
              <w:rPr>
                <w:sz w:val="17"/>
              </w:rPr>
              <w:t>MONITOR — this project is 12-18 months from RFP based on current IAAC and site agreement status, but the struc</w:t>
            </w:r>
          </w:p>
        </w:tc>
      </w:tr>
    </w:tbl>
    <w:p w14:paraId="2AC11710" w14:textId="77777777" w:rsidR="0001207D" w:rsidRDefault="0001207D"/>
    <w:p w14:paraId="4C9E872B" w14:textId="77777777" w:rsidR="0001207D" w:rsidRDefault="00423320">
      <w:pPr>
        <w:pStyle w:val="Heading2"/>
      </w:pPr>
      <w:r>
        <w:t>DISCOVER — Pre-procurement relationship-build</w:t>
      </w:r>
    </w:p>
    <w:p w14:paraId="78B46BF6" w14:textId="77777777" w:rsidR="0001207D" w:rsidRDefault="00423320">
      <w:r>
        <w:t>None in this honing pass.</w:t>
      </w:r>
    </w:p>
    <w:p w14:paraId="3C9EB96C" w14:textId="77777777" w:rsidR="0001207D" w:rsidRDefault="00423320">
      <w:pPr>
        <w:pStyle w:val="Heading2"/>
      </w:pPr>
      <w:r>
        <w:t>DEAD — Locked (Alliance / P3 / captive / Delivered)</w:t>
      </w:r>
    </w:p>
    <w:p w14:paraId="303C4438" w14:textId="77777777" w:rsidR="0001207D" w:rsidRDefault="00423320">
      <w:r>
        <w:t>None in this honing pass.</w:t>
      </w:r>
    </w:p>
    <w:p w14:paraId="1311E5F9" w14:textId="77777777" w:rsidR="0001207D" w:rsidRDefault="00423320">
      <w:pPr>
        <w:pStyle w:val="Heading2"/>
      </w:pPr>
      <w:r>
        <w:t>Strategic Synthesis</w:t>
      </w:r>
    </w:p>
    <w:p w14:paraId="30B03BD4" w14:textId="77777777" w:rsidR="0001207D" w:rsidRDefault="00423320">
      <w:pPr>
        <w:pStyle w:val="Heading3"/>
      </w:pPr>
      <w:r>
        <w:t>DCC is the gate, primes are the door</w:t>
      </w:r>
    </w:p>
    <w:p w14:paraId="73F3FA98" w14:textId="77777777" w:rsidR="0001207D" w:rsidRDefault="00423320">
      <w:r>
        <w:t>Defense structural work is procured via DCC, but KOR's entry point is the design-build prime's sub-consultant list, not DCC directly. Identify the likely D-B contenders per pursuit (EllisDon, PCL, Graham, Bird) and pre-position before the RFP closes the team. Subscribe to MERX / buyandsell.gc.ca DCC notices for Pacific and Western regions.</w:t>
      </w:r>
    </w:p>
    <w:p w14:paraId="71E19D77" w14:textId="77777777" w:rsidR="0001207D" w:rsidRDefault="00423320">
      <w:pPr>
        <w:pStyle w:val="Heading3"/>
      </w:pPr>
      <w:r>
        <w:t>EllisDon as strategic defense relationship</w:t>
      </w:r>
    </w:p>
    <w:p w14:paraId="7762CEFF" w14:textId="77777777" w:rsidR="0001207D" w:rsidRDefault="00423320">
      <w:r>
        <w:t>EllisDon recurs across the defense briefs as design prime (see PURSUE/MONITOR entries above) — the same firm KOR is building toward in BC healthcare. EllisDon is to defense what Graham Design Builders is to BC healthcare: a strategic relationship to build deliberately. Contacts via their Victoria, Vancouver, or Calgary offices (named contacts in the EllisDon deep-dive and IntelPersonAffiliation).</w:t>
      </w:r>
    </w:p>
    <w:p w14:paraId="24ABF4B7" w14:textId="77777777" w:rsidR="0001207D" w:rsidRDefault="00423320">
      <w:pPr>
        <w:pStyle w:val="Heading3"/>
      </w:pPr>
      <w:r>
        <w:t>Security clearance capability</w:t>
      </w:r>
    </w:p>
    <w:p w14:paraId="73D7CF7E" w14:textId="77777777" w:rsidR="0001207D" w:rsidRDefault="00423320">
      <w:r>
        <w:t>Several defense packages require Reliability or SECRET-level facility clearance for the structural sub. KOR should evaluate clearance capability once a concrete pursuit firms up — it is the recurring competitive gate across this sector.</w:t>
      </w:r>
    </w:p>
    <w:p w14:paraId="39400BC3" w14:textId="77777777" w:rsidR="0001207D" w:rsidRDefault="00423320">
      <w:pPr>
        <w:pStyle w:val="Heading3"/>
      </w:pPr>
      <w:r>
        <w:t>Live edge — Vancouver Island CFHA housing cluster</w:t>
      </w:r>
    </w:p>
    <w:p w14:paraId="690FFC66" w14:textId="77777777" w:rsidR="0001207D" w:rsidRDefault="00423320">
      <w:r>
        <w:t>The current PURSUE_URGENT set is concentrated on Vancouver Island CFHA (Canadian Forces Housing Agency) residential plus a hangar, all DCC-procured: 19 Wing Comox CFHA Housing Phase 2, 19 Wing Comox CMMA Hangar, and CFB Esquimalt CFHA 120 Units (CFB Edmonton CFHA Phase 2 and an Esquimalt DoD project follow as PURSUE). Housing-led, repeatable work in KOR's coastal-BC backyard. NOTE on past performance: KOR's Esquimalt-area structural history is Esquimalt-MUNICIPALITY work, not the naval base — KOR has no con</w:t>
      </w:r>
      <w:r>
        <w:t>firmed direct DND/CFB project record, so entry is via teaming, not incumbency.</w:t>
      </w:r>
    </w:p>
    <w:p w14:paraId="2552B69D" w14:textId="77777777" w:rsidR="0001207D" w:rsidRDefault="00423320">
      <w:pPr>
        <w:pStyle w:val="Heading3"/>
      </w:pPr>
      <w:r>
        <w:t>Team partners KOR can leverage — Yellowridge, DHK, and an Indigenous civil partner</w:t>
      </w:r>
    </w:p>
    <w:p w14:paraId="71346B8A" w14:textId="77777777" w:rsidR="0001207D" w:rsidRDefault="00423320">
      <w:r>
        <w:t>KOR has active project relationships with two viable defense-team partners: Yellowridge Construction (design-build GC, 60+ years, builds DND plus Indigenous / First Nations housing &amp; health facilities) and DHK Architects — both real KOR working relationships (e.g. Yellowridge — 611 Brunswick St, Prince George; DHK — All Clan House, Stellako BC). For DND packages with Indigenous-participation requirements or on/near Nation land, pair with Gwaii Engineering (Indigenous-owned, CCAB-certified civil) and its sib</w:t>
      </w:r>
      <w:r>
        <w:t>ling Islander Engineering: KOR structural + Gwaii civil earns Indigenous-participation scoring. NOTE: KOR has no prior jobs with Islander/Gwaii — forward-looking teaming, not past performance.</w:t>
      </w:r>
    </w:p>
    <w:p w14:paraId="030E8A6B" w14:textId="77777777" w:rsidR="0001207D" w:rsidRDefault="00423320">
      <w:pPr>
        <w:pStyle w:val="Heading3"/>
      </w:pPr>
      <w:r>
        <w:lastRenderedPageBreak/>
        <w:t>Defense MPI ingestion hygiene</w:t>
      </w:r>
    </w:p>
    <w:p w14:paraId="5FE0D2F5" w14:textId="77777777" w:rsidR="0001207D" w:rsidRDefault="00423320">
      <w:r>
        <w:t>The honing pass functioned partly as a data-hygiene audit: geographic proximity to a CFB caused schools, arenas, RCMP detachments, and First Nations commercial projects to auto-classify as defense. Tighter ingestion filters needed; re-categorization candidates are flagged per-brief in the MONITOR and DEAD sections above.</w:t>
      </w:r>
    </w:p>
    <w:p w14:paraId="4F09E1AA" w14:textId="77777777" w:rsidR="0001207D" w:rsidRDefault="00423320">
      <w:pPr>
        <w:pStyle w:val="Heading2"/>
      </w:pPr>
      <w:r>
        <w:t>Recommended next actions</w:t>
      </w:r>
    </w:p>
    <w:p w14:paraId="49230D60" w14:textId="77777777" w:rsidR="0001207D" w:rsidRDefault="00423320">
      <w:r>
        <w:t>1. Pre-position on the 3 Vancouver Island CFHA urgents (19 Wing Comox housing + CMMA hangar, CFB Esquimalt 120 units) via the likely design-build primes BEFORE the teams close — subscribe to DCC / MERX Pacific-region notices.</w:t>
      </w:r>
    </w:p>
    <w:p w14:paraId="60C4F4D0" w14:textId="77777777" w:rsidR="0001207D" w:rsidRDefault="00423320">
      <w:r>
        <w:t>2. Build the Yellowridge Construction + DHK Architects relationships deliberately — both are existing KOR working relationships and credible defense-team routes.</w:t>
      </w:r>
    </w:p>
    <w:p w14:paraId="7EF0C0B3" w14:textId="77777777" w:rsidR="0001207D" w:rsidRDefault="00423320">
      <w:r>
        <w:t>3. For Indigenous-participation defense packages, line up Gwaii Engineering (Indigenous-owned civil) as the participation + civil partner.</w:t>
      </w:r>
    </w:p>
    <w:p w14:paraId="751D9DDE" w14:textId="77777777" w:rsidR="0001207D" w:rsidRDefault="00423320">
      <w:r>
        <w:t>4. Confirm KOR's facility-security-clearance capability (Reliability / SECRET) — the recurring gate on structural-sub slots.</w:t>
      </w:r>
    </w:p>
    <w:sectPr w:rsidR="0001207D">
      <w:pgSz w:w="12240" w:h="15840"/>
      <w:pgMar w:top="720" w:right="1080" w:bottom="72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1207D"/>
    <w:rsid w:val="0001207D"/>
    <w:rsid w:val="00423320"/>
    <w:rsid w:val="004308B8"/>
    <w:rsid w:val="006338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06F5B"/>
  <w15:docId w15:val="{0B631C23-9827-4C8A-AD42-19CC7A2DE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40" w:lineRule="auto"/>
    </w:pPr>
    <w:rPr>
      <w:rFonts w:ascii="Calibri" w:hAnsi="Calibri"/>
      <w:sz w:val="20"/>
    </w:rPr>
  </w:style>
  <w:style w:type="paragraph" w:styleId="Heading1">
    <w:name w:val="heading 1"/>
    <w:basedOn w:val="Normal"/>
    <w:next w:val="Normal"/>
    <w:uiPriority w:val="9"/>
    <w:qFormat/>
    <w:pPr>
      <w:keepNext/>
      <w:pBdr>
        <w:bottom w:val="single" w:sz="12" w:space="2" w:color="FF5B35"/>
      </w:pBdr>
      <w:spacing w:after="160"/>
      <w:outlineLvl w:val="0"/>
    </w:pPr>
    <w:rPr>
      <w:b/>
      <w:color w:val="3F5364"/>
      <w:sz w:val="32"/>
    </w:rPr>
  </w:style>
  <w:style w:type="paragraph" w:styleId="Heading2">
    <w:name w:val="heading 2"/>
    <w:basedOn w:val="Normal"/>
    <w:next w:val="Normal"/>
    <w:uiPriority w:val="9"/>
    <w:unhideWhenUsed/>
    <w:qFormat/>
    <w:pPr>
      <w:keepNext/>
      <w:pBdr>
        <w:bottom w:val="single" w:sz="6" w:space="2" w:color="FF5B35"/>
      </w:pBdr>
      <w:spacing w:before="320"/>
      <w:outlineLvl w:val="1"/>
    </w:pPr>
    <w:rPr>
      <w:b/>
      <w:color w:val="3F5364"/>
      <w:sz w:val="24"/>
    </w:rPr>
  </w:style>
  <w:style w:type="paragraph" w:styleId="Heading3">
    <w:name w:val="heading 3"/>
    <w:basedOn w:val="Normal"/>
    <w:next w:val="Normal"/>
    <w:uiPriority w:val="9"/>
    <w:unhideWhenUsed/>
    <w:qFormat/>
    <w:pPr>
      <w:keepNext/>
      <w:spacing w:before="160" w:after="40"/>
      <w:outlineLvl w:val="2"/>
    </w:pPr>
    <w:rPr>
      <w:b/>
      <w:color w:val="3F5364"/>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1303</Words>
  <Characters>7666</Characters>
  <Application>Microsoft Office Word</Application>
  <DocSecurity>0</DocSecurity>
  <Lines>163</Lines>
  <Paragraphs>87</Paragraphs>
  <ScaleCrop>false</ScaleCrop>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Lalonde</cp:lastModifiedBy>
  <cp:revision>2</cp:revision>
  <cp:lastPrinted>2026-06-23T20:31:00Z</cp:lastPrinted>
  <dcterms:created xsi:type="dcterms:W3CDTF">2026-06-23T20:31:00Z</dcterms:created>
  <dcterms:modified xsi:type="dcterms:W3CDTF">2026-06-23T20:31:00Z</dcterms:modified>
</cp:coreProperties>
</file>