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84461917c893451b" /></Relationships>
</file>

<file path=word/document.xml><?xml version="1.0" encoding="utf-8"?>
<w:document xmlns:w="http://schemas.openxmlformats.org/wordprocessingml/2006/main">
  <w:body>
    <w:p>
      <w:pPr>
        <w:pStyle w:val="Heading1"/>
      </w:pPr>
      <w:r>
        <w:t xml:space="preserve">KOR Structural — Indigenous Partnerships BD Report</w:t>
      </w:r>
    </w:p>
    <w:p>
      <w:r>
        <w:rPr>
          <w:i/>
          <w:sz w:val="18"/>
        </w:rPr>
        <w:t xml:space="preserve">BC + Alberta First Nations / Métis / Indigenous construction pipeline. Verdicts: PURSUE / MONITOR / DEAD / DISCOVER. Indigenous procurement is relationship-driven, not open-bid — warm-introduction paths and 1-3 year relationship cadence acknowledged in every recommendation. Cultural-competency and protocol-respect baked into the honing PROMPT. Generated 2026-06-23 20:31 UTC from live KorOpportunitiesDb honing verdicts.</w:t>
      </w:r>
    </w:p>
    <w:p>
      <w:pPr>
        <w:pStyle w:val="Heading2"/>
      </w:pPr>
      <w:r>
        <w:t xml:space="preserve">Executive Summary</w:t>
      </w:r>
    </w:p>
    <w:tbl>
      <w:tblPr>
        <w:tblW w:w="0" w:type="auto"/>
        <w:tblCellSpacing w:w="40" w:type="dxa"/>
        <w:tblLayout w:type="autofit"/>
      </w:tblPr>
      <w:tblGrid>
        <w:gridCol/>
        <w:gridCol/>
        <w:gridCol/>
        <w:gridCol/>
        <w:gridCol/>
      </w:tblGrid>
      <w:tr>
        <w:tc>
          <w:tcPr>
            <w:tcBorders>
              <w:top w:val="single" w:color="FF5B35"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3F5364"/>
                <w:sz w:val="40"/>
              </w:rPr>
              <w:t xml:space="preserve">28</w:t>
            </w:r>
          </w:p>
          <w:p>
            <w:pPr>
              <w:spacing w:after="0"/>
            </w:pPr>
            <w:r>
              <w:rPr>
                <w:caps/>
                <w:color w:val="6B7280"/>
                <w:sz w:val="15"/>
              </w:rPr>
              <w:t xml:space="preserve">Projects honed</w:t>
            </w:r>
          </w:p>
        </w:tc>
        <w:tc>
          <w:tcPr>
            <w:tcBorders>
              <w:top w:val="single" w:color="C0392B"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C0392B"/>
                <w:sz w:val="40"/>
              </w:rPr>
              <w:t xml:space="preserve">1</w:t>
            </w:r>
          </w:p>
          <w:p>
            <w:pPr>
              <w:spacing w:after="0"/>
            </w:pPr>
            <w:r>
              <w:rPr>
                <w:caps/>
                <w:color w:val="6B7280"/>
                <w:sz w:val="15"/>
              </w:rPr>
              <w:t xml:space="preserve">Urgent</w:t>
            </w:r>
          </w:p>
        </w:tc>
        <w:tc>
          <w:tcPr>
            <w:tcBorders>
              <w:top w:val="single" w:color="1E8449"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1E8449"/>
                <w:sz w:val="40"/>
              </w:rPr>
              <w:t xml:space="preserve">7</w:t>
            </w:r>
          </w:p>
          <w:p>
            <w:pPr>
              <w:spacing w:after="0"/>
            </w:pPr>
            <w:r>
              <w:rPr>
                <w:caps/>
                <w:color w:val="6B7280"/>
                <w:sz w:val="15"/>
              </w:rPr>
              <w:t xml:space="preserve">Pursue</w:t>
            </w:r>
          </w:p>
        </w:tc>
        <w:tc>
          <w:tcPr>
            <w:tcBorders>
              <w:top w:val="single" w:color="B7950B"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B7950B"/>
                <w:sz w:val="40"/>
              </w:rPr>
              <w:t xml:space="preserve">9</w:t>
            </w:r>
          </w:p>
          <w:p>
            <w:pPr>
              <w:spacing w:after="0"/>
            </w:pPr>
            <w:r>
              <w:rPr>
                <w:caps/>
                <w:color w:val="6B7280"/>
                <w:sz w:val="15"/>
              </w:rPr>
              <w:t xml:space="preserve">Monitor</w:t>
            </w:r>
          </w:p>
        </w:tc>
        <w:tc>
          <w:tcPr>
            <w:tcBorders>
              <w:top w:val="single" w:color="2471A3" w:sz="24"/>
              <w:left w:val="single" w:color="D5DAE0" w:sz="4"/>
              <w:bottom w:val="single" w:color="D5DAE0" w:sz="4"/>
              <w:right w:val="single" w:color="D5DAE0" w:sz="4"/>
            </w:tcBorders>
            <w:tcMar>
              <w:top w:w="80" w:type="dxa"/>
              <w:left w:w="160" w:type="dxa"/>
              <w:bottom w:w="60" w:type="dxa"/>
              <w:right w:w="160" w:type="dxa"/>
            </w:tcMar>
          </w:tcPr>
          <w:p>
            <w:pPr>
              <w:spacing w:after="0"/>
            </w:pPr>
            <w:r>
              <w:rPr>
                <w:b/>
                <w:color w:val="2471A3"/>
                <w:sz w:val="40"/>
              </w:rPr>
              <w:t xml:space="preserve">11</w:t>
            </w:r>
          </w:p>
          <w:p>
            <w:pPr>
              <w:spacing w:after="0"/>
            </w:pPr>
            <w:r>
              <w:rPr>
                <w:caps/>
                <w:color w:val="6B7280"/>
                <w:sz w:val="15"/>
              </w:rPr>
              <w:t xml:space="preserve">Discover</w:t>
            </w:r>
          </w:p>
        </w:tc>
      </w:tr>
    </w:tbl>
    <w:p>
      <w:r>
        <w:t xml:space="preserve"/>
      </w:r>
    </w:p>
    <w:p>
      <w:r>
        <w:rPr>
          <w:b/>
        </w:rPr>
        <w:t xml:space="preserve">DEAD — locked or delivered: </w:t>
      </w:r>
      <w:r>
        <w:t xml:space="preserve">0</w:t>
      </w:r>
    </w:p>
    <w:p>
      <w:r>
        <w:rPr>
          <w:b/>
        </w:rPr>
        <w:t xml:space="preserve">DUPLICATE — flagged for MPI consolidation: </w:t>
      </w:r>
      <w:r>
        <w:t xml:space="preserve">0</w:t>
      </w:r>
    </w:p>
    <w:p>
      <w:r>
        <w:t xml:space="preserve">Indigenous BD reality: most projects are NOT competitive open-RFP. They are relationship-led procurement where Nation chief and council, development corporations, or non-profit operators select trusted partners. KOR's pursuit play is a 1-3 year relationship cadence. The PURSUE projects below have either explicit RFP windows OR specific named warm-introduction paths surfaced by the honing pass.</w:t>
      </w:r>
    </w:p>
    <w:p>
      <w:pPr>
        <w:pStyle w:val="Heading2"/>
      </w:pPr>
      <w:r>
        <w:t xml:space="preserve">URGENT — IMMEDIATE action required</w:t>
      </w:r>
    </w:p>
    <w:p>
      <w:pPr>
        <w:pStyle w:val="Heading3"/>
      </w:pPr>
      <w:r>
        <w:t xml:space="preserve">1. Langara Family YMCA Redevelopment — Musqueam / Townline / YMCA (282 West 49th Ave)</w:t>
      </w:r>
    </w:p>
    <w:p>
      <w:r>
        <w:rPr>
          <w:i/>
          <w:sz w:val="18"/>
        </w:rPr>
        <w:t xml:space="preserve">Id 6925  ·  BC  ·  Proponent: Musqueam First Nation / Townline Homes / YMCA of Greater Vancouver  ·  Cost: Not publicly disclosed  ·  Status: POST-DP — BP application stage. SE appointment likely underway. CONTACT ARCHITECT IMMEDIATELY.</w:t>
      </w:r>
    </w:p>
    <w:p>
      <w:r>
        <w:t xml:space="preserve">PURSUE URGENT — BP application likely filed; SE appointment underway. Contact Boniface Oleksiuk Positano Architects immediately about structural sub-consultant role. 33+37-storey towers with complex podium = major structural scope and KOR BC specialty.</w:t>
      </w:r>
    </w:p>
    <w:p>
      <w:pPr>
        <w:pStyle w:val="Heading2"/>
      </w:pPr>
      <w:r>
        <w:t xml:space="preserve">PURSUE — Open opportunities (not yet urgent)</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c>
          <w:tcPr>
            <w:shd w:val="clear" w:fill="3F5364"/>
          </w:tcPr>
          <w:p>
            <w:pPr>
              <w:spacing w:after="0"/>
            </w:pPr>
            <w:r>
              <w:rPr>
                <w:b/>
                <w:color w:val="FFFFFF"/>
                <w:sz w:val="17"/>
              </w:rPr>
              <w:t xml:space="preserve">Why PURSUE</w:t>
            </w:r>
          </w:p>
        </w:tc>
      </w:tr>
      <w:tr>
        <w:tc>
          <w:p>
            <w:pPr>
              <w:spacing w:after="0"/>
              <w:jc w:val="right"/>
            </w:pPr>
            <w:r>
              <w:rPr>
                <w:sz w:val="17"/>
              </w:rPr>
              <w:t xml:space="preserve">6999</w:t>
            </w:r>
          </w:p>
        </w:tc>
        <w:tc>
          <w:p>
            <w:pPr>
              <w:spacing w:after="0"/>
            </w:pPr>
            <w:r>
              <w:rPr>
                <w:sz w:val="17"/>
              </w:rPr>
              <w:t xml:space="preserve">Alexander First Nation Mamawatoskewin Prevention Buildi</w:t>
            </w:r>
          </w:p>
        </w:tc>
        <w:tc>
          <w:p>
            <w:pPr>
              <w:spacing w:after="0"/>
            </w:pPr>
            <w:r>
              <w:rPr>
                <w:sz w:val="17"/>
              </w:rPr>
              <w:t xml:space="preserve">Alexander First Nation</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PURSUE — ISC-funded with EA cleared. Design procurement likely underway. Contact Alexander FN via chiefarcand@alexanderfn.ca or via First Nations architect network (Manasc Isaac, Kasian, Indigenous Works). KOR Edmonton office proximity.</w:t>
            </w:r>
          </w:p>
        </w:tc>
      </w:tr>
      <w:tr>
        <w:tc>
          <w:tcPr>
            <w:shd w:val="clear" w:fill="F4F6F8"/>
          </w:tcPr>
          <w:p>
            <w:pPr>
              <w:spacing w:after="0"/>
              <w:jc w:val="right"/>
            </w:pPr>
            <w:r>
              <w:rPr>
                <w:sz w:val="17"/>
              </w:rPr>
              <w:t xml:space="preserve">4873</w:t>
            </w:r>
          </w:p>
        </w:tc>
        <w:tc>
          <w:tcPr>
            <w:shd w:val="clear" w:fill="F4F6F8"/>
          </w:tcPr>
          <w:p>
            <w:pPr>
              <w:spacing w:after="0"/>
            </w:pPr>
            <w:r>
              <w:rPr>
                <w:sz w:val="17"/>
              </w:rPr>
              <w:t xml:space="preserve">Build 600 Affordable Homes Action Plan (Squamish Nation</w:t>
            </w:r>
          </w:p>
        </w:tc>
        <w:tc>
          <w:tcPr>
            <w:shd w:val="clear" w:fill="F4F6F8"/>
          </w:tcPr>
          <w:p>
            <w:pPr>
              <w:spacing w:after="0"/>
            </w:pPr>
            <w:r>
              <w:rPr>
                <w:sz w:val="17"/>
              </w:rPr>
              <w:t xml:space="preserve">Squamish Nation / Hiy̓ám̓ ta S</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PURSUE — 295 homes still in pipeline. Contact DIALOG for modular housing SE sub. Contact Urban Arts Architecture for Capilano IR No. 5 structural sub. Direct contact with Nch'kay: pcprojects@squamish.net.</w:t>
            </w:r>
          </w:p>
        </w:tc>
      </w:tr>
      <w:tr>
        <w:tc>
          <w:p>
            <w:pPr>
              <w:spacing w:after="0"/>
              <w:jc w:val="right"/>
            </w:pPr>
            <w:r>
              <w:rPr>
                <w:sz w:val="17"/>
              </w:rPr>
              <w:t xml:space="preserve">7101</w:t>
            </w:r>
          </w:p>
        </w:tc>
        <w:tc>
          <w:p>
            <w:pPr>
              <w:spacing w:after="0"/>
            </w:pPr>
            <w:r>
              <w:rPr>
                <w:sz w:val="17"/>
              </w:rPr>
              <w:t xml:space="preserve">Enoch Cree Nation Cultural Interpretive Centre and Muse</w:t>
            </w:r>
          </w:p>
        </w:tc>
        <w:tc>
          <w:p>
            <w:pPr>
              <w:spacing w:after="0"/>
            </w:pPr>
            <w:r>
              <w:rPr>
                <w:sz w:val="17"/>
              </w:rPr>
              <w:t xml:space="preserve">Enoch Cree Nation</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Tawaw Architecture Collective (Wanda Dalla Costa) is the gateway to Enoch Cree Nation projects including both the CIC and Elders Lodge. CIB $100M infrastructure loan closed March 2025 — capital is committed, reserve development is active. Contact Wanda Dalla Costa directly with genuine engagement on both projects, respecting cultural protocols. KOR Edmonton proximity to Enoch territory and any pri</w:t>
            </w:r>
          </w:p>
        </w:tc>
      </w:tr>
      <w:tr>
        <w:tc>
          <w:tcPr>
            <w:shd w:val="clear" w:fill="F4F6F8"/>
          </w:tcPr>
          <w:p>
            <w:pPr>
              <w:spacing w:after="0"/>
              <w:jc w:val="right"/>
            </w:pPr>
            <w:r>
              <w:rPr>
                <w:sz w:val="17"/>
              </w:rPr>
              <w:t xml:space="preserve">7102</w:t>
            </w:r>
          </w:p>
        </w:tc>
        <w:tc>
          <w:tcPr>
            <w:shd w:val="clear" w:fill="F4F6F8"/>
          </w:tcPr>
          <w:p>
            <w:pPr>
              <w:spacing w:after="0"/>
            </w:pPr>
            <w:r>
              <w:rPr>
                <w:sz w:val="17"/>
              </w:rPr>
              <w:t xml:space="preserve">Enoch Cree Nation Elders Lodge</w:t>
            </w:r>
          </w:p>
        </w:tc>
        <w:tc>
          <w:tcPr>
            <w:shd w:val="clear" w:fill="F4F6F8"/>
          </w:tcPr>
          <w:p>
            <w:pPr>
              <w:spacing w:after="0"/>
            </w:pPr>
            <w:r>
              <w:rPr>
                <w:sz w:val="17"/>
              </w:rPr>
              <w:t xml:space="preserve">Enoch Cree Nation</w:t>
            </w:r>
          </w:p>
        </w:tc>
        <w:tc>
          <w:tcPr>
            <w:shd w:val="clear" w:fill="F4F6F8"/>
          </w:tcPr>
          <w:p>
            <w:pPr>
              <w:spacing w:after="0"/>
            </w:pPr>
            <w:r>
              <w:rPr>
                <w:sz w:val="17"/>
              </w:rPr>
              <w:t xml:space="preserve">AB</w:t>
            </w:r>
          </w:p>
        </w:tc>
        <w:tc>
          <w:tcPr>
            <w:shd w:val="clear" w:fill="F4F6F8"/>
          </w:tcPr>
          <w:p>
            <w:pPr>
              <w:spacing w:after="0"/>
              <w:jc w:val="right"/>
            </w:pPr>
            <w:r>
              <w:rPr>
                <w:sz w:val="17"/>
              </w:rPr>
              <w:t xml:space="preserve"/>
            </w:r>
          </w:p>
        </w:tc>
        <w:tc>
          <w:tcPr>
            <w:shd w:val="clear" w:fill="F4F6F8"/>
          </w:tcPr>
          <w:p>
            <w:pPr>
              <w:spacing w:after="0"/>
            </w:pPr>
            <w:r>
              <w:rPr>
                <w:sz w:val="17"/>
              </w:rPr>
              <w:t xml:space="preserve">Same as CIC (7101) — Tawaw Architecture Collective (Wanda Dalla Costa) is the single contact for both Enoch projects. $25M seniors housing + cultural centre in one Tawaw conversation. CIB $100M reserve loan means capital is committed and enabling infrastructure is moving. KOR should establish the Tawaw relationship now as both projects progress into construction documentation.</w:t>
            </w:r>
          </w:p>
        </w:tc>
      </w:tr>
      <w:tr>
        <w:tc>
          <w:p>
            <w:pPr>
              <w:spacing w:after="0"/>
              <w:jc w:val="right"/>
            </w:pPr>
            <w:r>
              <w:rPr>
                <w:sz w:val="17"/>
              </w:rPr>
              <w:t xml:space="preserve">6996</w:t>
            </w:r>
          </w:p>
        </w:tc>
        <w:tc>
          <w:p>
            <w:pPr>
              <w:spacing w:after="0"/>
            </w:pPr>
            <w:r>
              <w:rPr>
                <w:sz w:val="17"/>
              </w:rPr>
              <w:t xml:space="preserve">Enoch Cree Nation Northeast Development</w:t>
            </w:r>
          </w:p>
        </w:tc>
        <w:tc>
          <w:p>
            <w:pPr>
              <w:spacing w:after="0"/>
            </w:pPr>
            <w:r>
              <w:rPr>
                <w:sz w:val="17"/>
              </w:rPr>
              <w:t xml:space="preserve">Enoch Cree Nation</w:t>
            </w:r>
          </w:p>
        </w:tc>
        <w:tc>
          <w:p>
            <w:pPr>
              <w:spacing w:after="0"/>
            </w:pPr>
            <w:r>
              <w:rPr>
                <w:sz w:val="17"/>
              </w:rPr>
              <w:t xml:space="preserve">AB</w:t>
            </w:r>
          </w:p>
        </w:tc>
        <w:tc>
          <w:p>
            <w:pPr>
              <w:spacing w:after="0"/>
              <w:jc w:val="right"/>
            </w:pPr>
            <w:r>
              <w:rPr>
                <w:sz w:val="17"/>
              </w:rPr>
              <w:t xml:space="preserve"/>
            </w:r>
          </w:p>
        </w:tc>
        <w:tc>
          <w:p>
            <w:pPr>
              <w:spacing w:after="0"/>
            </w:pPr>
            <w:r>
              <w:rPr>
                <w:sz w:val="17"/>
              </w:rPr>
              <w:t xml:space="preserve">PURSUE — building structural opportunity post-2027. Build Tawaw Architecture Collective relationship now via CIC (7101) and Elders Lodge (7102). One relationship covers the full Enoch portfolio.</w:t>
            </w:r>
          </w:p>
        </w:tc>
      </w:tr>
      <w:tr>
        <w:tc>
          <w:tcPr>
            <w:shd w:val="clear" w:fill="F4F6F8"/>
          </w:tcPr>
          <w:p>
            <w:pPr>
              <w:spacing w:after="0"/>
              <w:jc w:val="right"/>
            </w:pPr>
            <w:r>
              <w:rPr>
                <w:sz w:val="17"/>
              </w:rPr>
              <w:t xml:space="preserve">4860</w:t>
            </w:r>
          </w:p>
        </w:tc>
        <w:tc>
          <w:tcPr>
            <w:shd w:val="clear" w:fill="F4F6F8"/>
          </w:tcPr>
          <w:p>
            <w:pPr>
              <w:spacing w:after="0"/>
            </w:pPr>
            <w:r>
              <w:rPr>
                <w:sz w:val="17"/>
              </w:rPr>
              <w:t xml:space="preserve">Outma Sqilx'w School Addition (955 m²)</w:t>
            </w:r>
          </w:p>
        </w:tc>
        <w:tc>
          <w:tcPr>
            <w:shd w:val="clear" w:fill="F4F6F8"/>
          </w:tcPr>
          <w:p>
            <w:pPr>
              <w:spacing w:after="0"/>
            </w:pPr>
            <w:r>
              <w:rPr>
                <w:sz w:val="17"/>
              </w:rPr>
              <w:t xml:space="preserve">Penticton Indian Band</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PURSUE — Iredale Architecture is the entry point. Contact Iredale Victoria office about SE sub-consultant role for Outma Sqilx'w school addition. Iredale Indigenous school portfolio across BC = relationship value beyond this project.</w:t>
            </w:r>
          </w:p>
        </w:tc>
      </w:tr>
      <w:tr>
        <w:tc>
          <w:p>
            <w:pPr>
              <w:spacing w:after="0"/>
              <w:jc w:val="right"/>
            </w:pPr>
            <w:r>
              <w:rPr>
                <w:sz w:val="17"/>
              </w:rPr>
              <w:t xml:space="preserve">5821</w:t>
            </w:r>
          </w:p>
        </w:tc>
        <w:tc>
          <w:p>
            <w:pPr>
              <w:spacing w:after="0"/>
            </w:pPr>
            <w:r>
              <w:rPr>
                <w:sz w:val="17"/>
              </w:rPr>
              <w:t xml:space="preserve">Redford Housing – Uchucklesaht First Nation (3830 5th A</w:t>
            </w:r>
          </w:p>
        </w:tc>
        <w:tc>
          <w:p>
            <w:pPr>
              <w:spacing w:after="0"/>
            </w:pPr>
            <w:r>
              <w:rPr>
                <w:sz w:val="17"/>
              </w:rPr>
              <w:t xml:space="preserve">Uchucklesaht Tribe Government</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PURSUE. Structural EOR has not been publicly named and construction start is not until fall 2026/spring 2027 — design team appointment is likely happening in 2026. Uchucklesaht Development Corporation (UDC) is a new development entity with no established structural relationships from prior Port Alberni projects (the Redford site is their first major residential development). No incumbent SE identi</w:t>
            </w:r>
          </w:p>
        </w:tc>
      </w:tr>
    </w:tbl>
    <w:p>
      <w:r>
        <w:t xml:space="preserve"/>
      </w:r>
    </w:p>
    <w:p>
      <w:pPr>
        <w:pStyle w:val="Heading2"/>
      </w:pPr>
      <w:r>
        <w:t xml:space="preserve">MONITOR — Current phase locked, future phases open</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c>
          <w:tcPr>
            <w:shd w:val="clear" w:fill="3F5364"/>
          </w:tcPr>
          <w:p>
            <w:pPr>
              <w:spacing w:after="0"/>
            </w:pPr>
            <w:r>
              <w:rPr>
                <w:b/>
                <w:color w:val="FFFFFF"/>
                <w:sz w:val="17"/>
              </w:rPr>
              <w:t xml:space="preserve">Why MONITOR</w:t>
            </w:r>
          </w:p>
        </w:tc>
      </w:tr>
      <w:tr>
        <w:tc>
          <w:p>
            <w:pPr>
              <w:spacing w:after="0"/>
              <w:jc w:val="right"/>
            </w:pPr>
            <w:r>
              <w:rPr>
                <w:sz w:val="17"/>
              </w:rPr>
              <w:t xml:space="preserve">1294</w:t>
            </w:r>
          </w:p>
        </w:tc>
        <w:tc>
          <w:p>
            <w:pPr>
              <w:spacing w:after="0"/>
            </w:pPr>
            <w:r>
              <w:rPr>
                <w:sz w:val="17"/>
              </w:rPr>
              <w:t xml:space="preserve">South Burrard Development</w:t>
            </w:r>
          </w:p>
        </w:tc>
        <w:tc>
          <w:p>
            <w:pPr>
              <w:spacing w:after="0"/>
            </w:pPr>
            <w:r>
              <w:rPr>
                <w:sz w:val="17"/>
              </w:rPr>
              <w:t xml:space="preserve">Squamish First Nation</w:t>
            </w:r>
          </w:p>
        </w:tc>
        <w:tc>
          <w:p>
            <w:pPr>
              <w:spacing w:after="0"/>
            </w:pPr>
            <w:r>
              <w:rPr>
                <w:sz w:val="17"/>
              </w:rPr>
              <w:t xml:space="preserve">BC</w:t>
            </w:r>
          </w:p>
        </w:tc>
        <w:tc>
          <w:p>
            <w:pPr>
              <w:spacing w:after="0"/>
              <w:jc w:val="right"/>
            </w:pPr>
            <w:r>
              <w:rPr>
                <w:sz w:val="17"/>
              </w:rPr>
              <w:t xml:space="preserve">1000</w:t>
            </w:r>
          </w:p>
        </w:tc>
        <w:tc>
          <w:p>
            <w:pPr>
              <w:spacing w:after="0"/>
            </w:pPr>
            <w:r>
              <w:rPr>
                <w:sz w:val="17"/>
              </w:rPr>
              <w:t xml:space="preserve">MONITOR — Glotman Simpson is the Phase 1 structural engineer (rival). Squamish Nation + OPTrust are not KOR cl</w:t>
            </w:r>
          </w:p>
        </w:tc>
      </w:tr>
      <w:tr>
        <w:tc>
          <w:tcPr>
            <w:shd w:val="clear" w:fill="F4F6F8"/>
          </w:tcPr>
          <w:p>
            <w:pPr>
              <w:spacing w:after="0"/>
              <w:jc w:val="right"/>
            </w:pPr>
            <w:r>
              <w:rPr>
                <w:sz w:val="17"/>
              </w:rPr>
              <w:t xml:space="preserve">5184</w:t>
            </w:r>
          </w:p>
        </w:tc>
        <w:tc>
          <w:tcPr>
            <w:shd w:val="clear" w:fill="F4F6F8"/>
          </w:tcPr>
          <w:p>
            <w:pPr>
              <w:spacing w:after="0"/>
            </w:pPr>
            <w:r>
              <w:rPr>
                <w:sz w:val="17"/>
              </w:rPr>
              <w:t xml:space="preserve">Comox Valley RCMP Detachment Replacement</w:t>
            </w:r>
          </w:p>
        </w:tc>
        <w:tc>
          <w:tcPr>
            <w:shd w:val="clear" w:fill="F4F6F8"/>
          </w:tcPr>
          <w:p>
            <w:pPr>
              <w:spacing w:after="0"/>
            </w:pPr>
            <w:r>
              <w:rPr>
                <w:sz w:val="17"/>
              </w:rPr>
              <w:t xml:space="preserve">City of Courtenay / Town of Co</w:t>
            </w:r>
          </w:p>
        </w:tc>
        <w:tc>
          <w:tcPr>
            <w:shd w:val="clear" w:fill="F4F6F8"/>
          </w:tcPr>
          <w:p>
            <w:pPr>
              <w:spacing w:after="0"/>
            </w:pPr>
            <w:r>
              <w:rPr>
                <w:sz w:val="17"/>
              </w:rPr>
              <w:t xml:space="preserve">BC</w:t>
            </w:r>
          </w:p>
        </w:tc>
        <w:tc>
          <w:tcPr>
            <w:shd w:val="clear" w:fill="F4F6F8"/>
          </w:tcPr>
          <w:p>
            <w:pPr>
              <w:spacing w:after="0"/>
              <w:jc w:val="right"/>
            </w:pPr>
            <w:r>
              <w:rPr>
                <w:sz w:val="17"/>
              </w:rPr>
              <w:t xml:space="preserve">~$47,000,000</w:t>
            </w:r>
          </w:p>
        </w:tc>
        <w:tc>
          <w:tcPr>
            <w:shd w:val="clear" w:fill="F4F6F8"/>
          </w:tcPr>
          <w:p>
            <w:pPr>
              <w:spacing w:after="0"/>
            </w:pPr>
            <w:r>
              <w:rPr>
                <w:sz w:val="17"/>
              </w:rPr>
              <w:t xml:space="preserve">MONITOR. Still in pre-project advocacy as of February 2026 — four-jurisdiction agreement not yet achieved, no </w:t>
            </w:r>
          </w:p>
        </w:tc>
      </w:tr>
      <w:tr>
        <w:tc>
          <w:p>
            <w:pPr>
              <w:spacing w:after="0"/>
              <w:jc w:val="right"/>
            </w:pPr>
            <w:r>
              <w:rPr>
                <w:sz w:val="17"/>
              </w:rPr>
              <w:t xml:space="preserve">4854</w:t>
            </w:r>
          </w:p>
        </w:tc>
        <w:tc>
          <w:p>
            <w:pPr>
              <w:spacing w:after="0"/>
            </w:pPr>
            <w:r>
              <w:rPr>
                <w:sz w:val="17"/>
              </w:rPr>
              <w:t xml:space="preserve">Farwell Road Subdivision — Phase 1 (~50 Lots)</w:t>
            </w:r>
          </w:p>
        </w:tc>
        <w:tc>
          <w:p>
            <w:pPr>
              <w:spacing w:after="0"/>
            </w:pPr>
            <w:r>
              <w:rPr>
                <w:sz w:val="17"/>
              </w:rPr>
              <w:t xml:space="preserve">Wei Wai Kum First Nation</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MONITOR — low priority unless multi-family buildings confirmed. Contact Erica Haunch (ericahaunch@weiwaikum.ca</w:t>
            </w:r>
          </w:p>
        </w:tc>
      </w:tr>
      <w:tr>
        <w:tc>
          <w:tcPr>
            <w:shd w:val="clear" w:fill="F4F6F8"/>
          </w:tcPr>
          <w:p>
            <w:pPr>
              <w:spacing w:after="0"/>
              <w:jc w:val="right"/>
            </w:pPr>
            <w:r>
              <w:rPr>
                <w:sz w:val="17"/>
              </w:rPr>
              <w:t xml:space="preserve">4857</w:t>
            </w:r>
          </w:p>
        </w:tc>
        <w:tc>
          <w:tcPr>
            <w:shd w:val="clear" w:fill="F4F6F8"/>
          </w:tcPr>
          <w:p>
            <w:pPr>
              <w:spacing w:after="0"/>
            </w:pPr>
            <w:r>
              <w:rPr>
                <w:sz w:val="17"/>
              </w:rPr>
              <w:t xml:space="preserve">OKIB 35 New Affordable Homes (Pebble Park / Head of Lak</w:t>
            </w:r>
          </w:p>
        </w:tc>
        <w:tc>
          <w:tcPr>
            <w:shd w:val="clear" w:fill="F4F6F8"/>
          </w:tcPr>
          <w:p>
            <w:pPr>
              <w:spacing w:after="0"/>
            </w:pPr>
            <w:r>
              <w:rPr>
                <w:sz w:val="17"/>
              </w:rPr>
              <w:t xml:space="preserve">Okanagan Indian Band (OKIB)</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MONITOR. BC Budget 2026 suspended the Indigenous Housing Fund — the primary funding stream for OKIB's 35-unit </w:t>
            </w:r>
          </w:p>
        </w:tc>
      </w:tr>
      <w:tr>
        <w:tc>
          <w:p>
            <w:pPr>
              <w:spacing w:after="0"/>
              <w:jc w:val="right"/>
            </w:pPr>
            <w:r>
              <w:rPr>
                <w:sz w:val="17"/>
              </w:rPr>
              <w:t xml:space="preserve">4851</w:t>
            </w:r>
          </w:p>
        </w:tc>
        <w:tc>
          <w:p>
            <w:pPr>
              <w:spacing w:after="0"/>
            </w:pPr>
            <w:r>
              <w:rPr>
                <w:sz w:val="17"/>
              </w:rPr>
              <w:t xml:space="preserve">Queneesh Trailer Park Site Redevelopment (Future Housin</w:t>
            </w:r>
          </w:p>
        </w:tc>
        <w:tc>
          <w:p>
            <w:pPr>
              <w:spacing w:after="0"/>
            </w:pPr>
            <w:r>
              <w:rPr>
                <w:sz w:val="17"/>
              </w:rPr>
              <w:t xml:space="preserve">K'ómoks First Nation</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MONITOR. Queneesh is a confirmed, locked redevelopment timeline — trailer park closes January 31, 2028, and Na</w:t>
            </w:r>
          </w:p>
        </w:tc>
      </w:tr>
      <w:tr>
        <w:tc>
          <w:tcPr>
            <w:shd w:val="clear" w:fill="F4F6F8"/>
          </w:tcPr>
          <w:p>
            <w:pPr>
              <w:spacing w:after="0"/>
              <w:jc w:val="right"/>
            </w:pPr>
            <w:r>
              <w:rPr>
                <w:sz w:val="17"/>
              </w:rPr>
              <w:t xml:space="preserve">3228</w:t>
            </w:r>
          </w:p>
        </w:tc>
        <w:tc>
          <w:tcPr>
            <w:shd w:val="clear" w:fill="F4F6F8"/>
          </w:tcPr>
          <w:p>
            <w:pPr>
              <w:spacing w:after="0"/>
            </w:pPr>
            <w:r>
              <w:rPr>
                <w:sz w:val="17"/>
              </w:rPr>
              <w:t xml:space="preserve">Raven Woods / Seymour Village</w:t>
            </w:r>
          </w:p>
        </w:tc>
        <w:tc>
          <w:tcPr>
            <w:shd w:val="clear" w:fill="F4F6F8"/>
          </w:tcPr>
          <w:p>
            <w:pPr>
              <w:spacing w:after="0"/>
            </w:pPr>
            <w:r>
              <w:rPr>
                <w:sz w:val="17"/>
              </w:rPr>
              <w:t xml:space="preserve">Takaya Developments + Aquilini</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
            </w:r>
          </w:p>
        </w:tc>
      </w:tr>
      <w:tr>
        <w:tc>
          <w:p>
            <w:pPr>
              <w:spacing w:after="0"/>
              <w:jc w:val="right"/>
            </w:pPr>
            <w:r>
              <w:rPr>
                <w:sz w:val="17"/>
              </w:rPr>
              <w:t xml:space="preserve">6910</w:t>
            </w:r>
          </w:p>
        </w:tc>
        <w:tc>
          <w:p>
            <w:pPr>
              <w:spacing w:after="0"/>
            </w:pPr>
            <w:r>
              <w:rPr>
                <w:sz w:val="17"/>
              </w:rPr>
              <w:t xml:space="preserve">Sen̓áḵw Phases 3 &amp; 4 — Towers 7–11 (Squamish Nation 100</w:t>
            </w:r>
          </w:p>
        </w:tc>
        <w:tc>
          <w:p>
            <w:pPr>
              <w:spacing w:after="0"/>
            </w:pPr>
            <w:r>
              <w:rPr>
                <w:sz w:val="17"/>
              </w:rPr>
              <w:t xml:space="preserve">Squamish Nation (100% ownershi</w:t>
            </w:r>
          </w:p>
        </w:tc>
        <w:tc>
          <w:p>
            <w:pPr>
              <w:spacing w:after="0"/>
            </w:pPr>
            <w:r>
              <w:rPr>
                <w:sz w:val="17"/>
              </w:rPr>
              <w:t xml:space="preserve">BC</w:t>
            </w:r>
          </w:p>
        </w:tc>
        <w:tc>
          <w:p>
            <w:pPr>
              <w:spacing w:after="0"/>
              <w:jc w:val="right"/>
            </w:pPr>
            <w:r>
              <w:rPr>
                <w:sz w:val="17"/>
              </w:rPr>
              <w:t xml:space="preserve">Not publicly disclosed; Nation holds 100% of Phases 3–4</w:t>
            </w:r>
          </w:p>
        </w:tc>
        <w:tc>
          <w:p>
            <w:pPr>
              <w:spacing w:after="0"/>
            </w:pPr>
            <w:r>
              <w:rPr>
                <w:sz w:val="17"/>
              </w:rPr>
              <w:t xml:space="preserve"/>
            </w:r>
          </w:p>
        </w:tc>
      </w:tr>
      <w:tr>
        <w:tc>
          <w:tcPr>
            <w:shd w:val="clear" w:fill="F4F6F8"/>
          </w:tcPr>
          <w:p>
            <w:pPr>
              <w:spacing w:after="0"/>
              <w:jc w:val="right"/>
            </w:pPr>
            <w:r>
              <w:rPr>
                <w:sz w:val="17"/>
              </w:rPr>
              <w:t xml:space="preserve">4844</w:t>
            </w:r>
          </w:p>
        </w:tc>
        <w:tc>
          <w:tcPr>
            <w:shd w:val="clear" w:fill="F4F6F8"/>
          </w:tcPr>
          <w:p>
            <w:pPr>
              <w:spacing w:after="0"/>
            </w:pPr>
            <w:r>
              <w:rPr>
                <w:sz w:val="17"/>
              </w:rPr>
              <w:t xml:space="preserve">sxwayxwum Village (1 Terminal Avenue) — Redevelopment</w:t>
            </w:r>
          </w:p>
        </w:tc>
        <w:tc>
          <w:tcPr>
            <w:shd w:val="clear" w:fill="F4F6F8"/>
          </w:tcPr>
          <w:p>
            <w:pPr>
              <w:spacing w:after="0"/>
            </w:pPr>
            <w:r>
              <w:rPr>
                <w:sz w:val="17"/>
              </w:rPr>
              <w:t xml:space="preserve">Petroglyph Development Group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c>
          <w:tcPr>
            <w:shd w:val="clear" w:fill="F4F6F8"/>
          </w:tcPr>
          <w:p>
            <w:pPr>
              <w:spacing w:after="0"/>
            </w:pPr>
            <w:r>
              <w:rPr>
                <w:sz w:val="17"/>
              </w:rPr>
              <w:t xml:space="preserve">MONITOR. sxwayxwum is a culturally significant returned land site — the redevelopment programming will be driv</w:t>
            </w:r>
          </w:p>
        </w:tc>
      </w:tr>
      <w:tr>
        <w:tc>
          <w:p>
            <w:pPr>
              <w:spacing w:after="0"/>
              <w:jc w:val="right"/>
            </w:pPr>
            <w:r>
              <w:rPr>
                <w:sz w:val="17"/>
              </w:rPr>
              <w:t xml:space="preserve">4848</w:t>
            </w:r>
          </w:p>
        </w:tc>
        <w:tc>
          <w:p>
            <w:pPr>
              <w:spacing w:after="0"/>
            </w:pPr>
            <w:r>
              <w:rPr>
                <w:sz w:val="17"/>
              </w:rPr>
              <w:t xml:space="preserve">Tseshaht Economic Park (Highway 4)</w:t>
            </w:r>
          </w:p>
        </w:tc>
        <w:tc>
          <w:p>
            <w:pPr>
              <w:spacing w:after="0"/>
            </w:pPr>
            <w:r>
              <w:rPr>
                <w:sz w:val="17"/>
              </w:rPr>
              <w:t xml:space="preserve">Tseshaht First Nation</w:t>
            </w:r>
          </w:p>
        </w:tc>
        <w:tc>
          <w:p>
            <w:pPr>
              <w:spacing w:after="0"/>
            </w:pPr>
            <w:r>
              <w:rPr>
                <w:sz w:val="17"/>
              </w:rPr>
              <w:t xml:space="preserve">BC</w:t>
            </w:r>
          </w:p>
        </w:tc>
        <w:tc>
          <w:p>
            <w:pPr>
              <w:spacing w:after="0"/>
              <w:jc w:val="right"/>
            </w:pPr>
            <w:r>
              <w:rPr>
                <w:sz w:val="17"/>
              </w:rPr>
              <w:t xml:space="preserve"/>
            </w:r>
          </w:p>
        </w:tc>
        <w:tc>
          <w:p>
            <w:pPr>
              <w:spacing w:after="0"/>
            </w:pPr>
            <w:r>
              <w:rPr>
                <w:sz w:val="17"/>
              </w:rPr>
              <w:t xml:space="preserve">MONITOR. Tseshaht Economic Park follows the Nation-owned commercial lease park model — structural opportunitie</w:t>
            </w:r>
          </w:p>
        </w:tc>
      </w:tr>
    </w:tbl>
    <w:p>
      <w:r>
        <w:t xml:space="preserve"/>
      </w:r>
    </w:p>
    <w:p>
      <w:pPr>
        <w:pStyle w:val="Heading2"/>
      </w:pPr>
      <w:r>
        <w:t xml:space="preserve">MARKET SIGNALS</w:t>
      </w:r>
    </w:p>
    <w:p>
      <w:r>
        <w:rPr>
          <w:b/>
        </w:rPr>
        <w:t xml:space="preserve">• LeadershipChange: </w:t>
      </w:r>
      <w:r>
        <w:t xml:space="preserve">Boniface Oleksiuk Politano Architects — New hire: Director of Operations &amp; Strategy (Ashleigh Lowe) joined BOP — A Director of Operations &amp; Strategy role was filled at BOP Architects, with the incoming hire announcing via LinkedIn: 'I'm thrilled to share that I've joined BOP Architects as Director of Operations and Strategy.' SignalHire also lists 'Ashleigh Lowe — Director of Operations &amp; Strategy' at BOP. This is a new, senior non-principal hire representing a meaningful step in firm maturation</w:t>
      </w:r>
    </w:p>
    <w:p>
      <w:r>
        <w:rPr>
          <w:b/>
        </w:rPr>
        <w:t xml:space="preserve">• LeadershipChange: </w:t>
      </w:r>
      <w:r>
        <w:t xml:space="preserve">Boniface Oleksiuk Politano Architects — CORRECTIVE: Alan Boniface confirmed still Principal at BOP — prior departure flag was incorrect — Previous CURRENT_KNOWLEDGE marked Alan Boniface as isCurrent: false (departed). SignalHire (updated 2025-05-07) and LinkedIn both confirm he remains Principal at BOP Architects. His email alan@bop.ca is active. The departure flag should be cleared. He continues to post publicly under 'Principal at BOP Architects' on LinkedIn and is reposted by the firm's offic</w:t>
      </w:r>
    </w:p>
    <w:p>
      <w:r>
        <w:rPr>
          <w:b/>
        </w:rPr>
        <w:t xml:space="preserve">• LeadershipChange: </w:t>
      </w:r>
      <w:r>
        <w:t xml:space="preserve">Boniface Oleksiuk Politano Architects — Principal, Architect AIBC departure: Alan Boniface — CORRECTION — prior knowledge flagged as departed (isCurrent: false); multiple independent sources confirm Alan Boniface remains Principal at BOP Architects as of mid-2025. Past managing partner of DIALOG Vancouver; former Chair ULI Vancouver and Vancouver City Planning Commission. Senior industry figure and developer-relationship principal. KOR senior leadership contact target.</w:t>
      </w:r>
    </w:p>
    <w:p>
      <w:r>
        <w:rPr>
          <w:b/>
        </w:rPr>
        <w:t xml:space="preserve">• LeadershipChange: </w:t>
      </w:r>
      <w:r>
        <w:t xml:space="preserve">Revery Architecture Inc. (formerly Bing Thom Architects) — Skylarr Amari hired as Marketing Lead — first dedicated marketing role confirmed — ZoomInfo shows Skylarr Amari joined Revery as Marketing Lead on October 1, 2025. This is the first confirmed dedicated marketing hire visible in public data, suggesting the firm is formalizing BD and RFP processes. This person is now a relevant gatekeeper for SE firms seeking to be included on proposal teams.</w:t>
      </w:r>
    </w:p>
    <w:p>
      <w:r>
        <w:rPr>
          <w:b/>
        </w:rPr>
        <w:t xml:space="preserve">• LeadershipChange: </w:t>
      </w:r>
      <w:r>
        <w:t xml:space="preserve">Workun Garrick Partnership — Tristan Hawryluk elevated to Partner in 2018 — confirmed still current — Hawryluk was announced as Partner in 2018 after 11 years as an Associate. He is confirmed as a current partner on the firm website People page alongside MacGregor and Rabinovitch as of June 2026. He holds LEED AP BD+C credentials, making him relevant for sustainability-forward school and community projects.</w:t>
      </w:r>
    </w:p>
    <w:p>
      <w:r>
        <w:rPr>
          <w:b/>
        </w:rPr>
        <w:t xml:space="preserve">• LeadershipChange: </w:t>
      </w:r>
      <w:r>
        <w:t xml:space="preserve">Workun Garrick Partnership — CORRECTION — Dave Christie retired 2013; NOT a current principal — Prior knowledge listed Dave Christie as a current co-principal. The firm's own About page confirms Christie retired in 2013, leaving MacGregor and Rabinovitch as sole directors at that time. Christie should be removed from current decision-maker lists. Current leadership is MacGregor, Rabinovitch, and Hawryluk (3 partners).</w:t>
      </w:r>
    </w:p>
    <w:p>
      <w:r>
        <w:rPr>
          <w:b/>
        </w:rPr>
        <w:t xml:space="preserve">• SE_OPEN: </w:t>
      </w:r>
      <w:r>
        <w:t xml:space="preserve">Revery Architecture Inc. (formerly Bing Thom Architects) — Fast+Epp confirmed on special/civic structures: PNE Amphitheatre + Oakridge Park — Fast+Epp SE on: (1) PNE Amphitheatre — mass timber roof, $184M project, construction ongoing; (2) Oakridge Park — community/civic component, opened May 28, 2026. Fast+Epp is used exclusively on Revery's non-high-rise structural challenges. The SE pattern is clearly bifurcated: Glotman for high-rise residential, Fast+Epp for special/civic.</w:t>
      </w:r>
    </w:p>
    <w:p>
      <w:r>
        <w:rPr>
          <w:b/>
        </w:rPr>
        <w:t xml:space="preserve">• SE_SOFT: </w:t>
      </w:r>
      <w:r>
        <w:t xml:space="preserve">Revery Architecture Inc. (formerly Bing Thom Architects) — Glotman Simpson confirmed on both high-rise residential projects: Sen̓áḵw + The Butterfly — Glotman Simpson is SE on: (1) Sen̓áḵw — 11-tower, 6,000-unit, 4M SF, Indigenous-led masterplan (tallest 58 storeys), Squamish Nation + Westbank, under construction in phases; (2) The Butterfly — 57-storey luxury condo + First Baptist Church heritage integration, Westbank developer, Icon West contractor. Glotman's dominance on Revery's two major hi</w:t>
      </w:r>
    </w:p>
    <w:p>
      <w:r>
        <w:rPr>
          <w:b/>
        </w:rPr>
        <w:t xml:space="preserve">• LeadershipChange: </w:t>
      </w:r>
      <w:r>
        <w:t xml:space="preserve">Hariri Pontarini Architects — Michael Attard promoted to Partner at HPA — CONFIRMED — October 2025 DCN and Canadian Architect announcements confirm Attard's promotion to Partner alongside Doron Meinhard. Both bring nearly two decades of HPA experience. Attard is the key BC-facing partner (Mayfair West, 1166 West Pender).</w:t>
      </w:r>
    </w:p>
    <w:p>
      <w:r>
        <w:rPr>
          <w:b/>
        </w:rPr>
        <w:t xml:space="preserve">• LeadershipChange: </w:t>
      </w:r>
      <w:r>
        <w:t xml:space="preserve">Hariri Pontarini Architects — Doron Meinhard promoted to Partner at HPA — HPA announced Doron Meinhard and Michael Attard as new partners in October 2025. Meinhard brings 25 years of experience and focuses on institutional and cultural projects. He was a key team member on the SFU Gibson Art Museum (Burnaby, completed 2025) and was public spokesperson for the Ontario Science Centre shortlisting.</w:t>
      </w:r>
    </w:p>
    <w:p>
      <w:r>
        <w:rPr>
          <w:b/>
        </w:rPr>
        <w:t xml:space="preserve">• LeadershipChange: </w:t>
      </w:r>
      <w:r>
        <w:t xml:space="preserve">Hariri Pontarini Architects — Director, Office Lead — Arcadis (formerly IBI) departure: Anita Leonoff — Arcadis (formerly IBI) is AOR alongside HPA on Mayfair West. Leonoff runs the Vancouver office. AOR must coordinate with SE for permit drawings — influence but not final vote on SE selection. Useful warm-up call before approaching Grosvenor.</w:t>
      </w:r>
    </w:p>
    <w:p>
      <w:r>
        <w:rPr>
          <w:b/>
        </w:rPr>
        <w:t xml:space="preserve">• LeadershipChange: </w:t>
      </w:r>
      <w:r>
        <w:t xml:space="preserve">Checkwitch Poiron Architects Inc. — Architect AIBC, Principal departure: David Poiron — Co-founder. Architect AIBC. M.Arch with RAIC Gold Medal, University of Manitoba 1997. Based primarily in Nanaimo. Former faculty at Vancouver Island University Interior Design program (2001–2014). Established David Poiron Architect Inc. in 2002 before forming CPA in 2012. Firm general email: contact@cparch.ca; Nanaimo office: +1.250.714.1963.</w:t>
      </w:r>
    </w:p>
    <w:p>
      <w:r>
        <w:rPr>
          <w:b/>
        </w:rPr>
        <w:t xml:space="preserve">• SE_OPEN: </w:t>
      </w:r>
      <w:r>
        <w:t xml:space="preserve">Boniface Oleksiuk Politano Architects — Dialog/HBBH alumni — no external SE incumbent relationship from prior firms — Alan Boniface and Adrian Politano previously at DIALOG (which has in-house structural engineering via DIALOG Engineering). DIALOG projects wouldn't have established external SE relationships. Shane Oleksiuk from HBBH. BOP's SE selection from 2019 onward is effectively being built from scratch — no inherited SE incumbent. First KOR contact has maximum impact.</w:t>
      </w:r>
    </w:p>
    <w:p>
      <w:r>
        <w:rPr>
          <w:b/>
        </w:rPr>
        <w:t xml:space="preserve">• SE_OPEN: </w:t>
      </w:r>
      <w:r>
        <w:t xml:space="preserve">Boniface Oleksiuk Politano Architects — No SE relationships confirmed — SE_OPEN genuinely — BOP Architects founded 2019. Principals came from Dialog (which has in-house structural DIALOG Engineering — no external SE relationship to carry forward) and HBBH. No external SE credits found on BOP-specific projects in public sources. GAP REMAINS OPEN — tried: bop.ca projects page, changingcitybook, vancouvermarket, constructconnect. Firm is new enough that SE relationships are still being established.</w:t>
      </w:r>
    </w:p>
    <w:p>
      <w:r>
        <w:rPr>
          <w:b/>
        </w:rPr>
        <w:t xml:space="preserve">• SE_OPEN: </w:t>
      </w:r>
      <w:r>
        <w:t xml:space="preserve">GBL Architects — Fast+Epp confirmed as SE on Chief Leonard George Building (mass timber, Passive House) — Chief Leonard George Building: non-market residential + daycare, Passive House + mass timber. Fast+Epp as SE. 2025 AFBC Innovation Award, 2026 ASHRAE BC Technology Award. GBL uses Fast+Epp for sustainability/mass-timber projects, Glotman for market high-rise. Two-SE pattern = SE_OPEN.</w:t>
      </w:r>
    </w:p>
    <w:p>
      <w:r>
        <w:rPr>
          <w:b/>
        </w:rPr>
        <w:t xml:space="preserve">• SE_OPEN: </w:t>
      </w:r>
      <w:r>
        <w:t xml:space="preserve">GBL Architects — Glotman Simpson confirmed as SE on 8X On The Park (35-storey, Brenhill) — 8X On The Park, 35-storey mixed-use (market + rental + retail) in Yaletown, Brenhill Developments. SE: Glotman Simpson. Project completed after decade-long design process. LEED Gold. This shows GBL uses Glotman on market high-rise residential.</w:t>
      </w:r>
    </w:p>
    <w:p>
      <w:r>
        <w:rPr>
          <w:b/>
        </w:rPr>
        <w:t xml:space="preserve">• SE_OPEN: </w:t>
      </w:r>
      <w:r>
        <w:t xml:space="preserve">Enoch Cree Nation — Northeast Development community building phase — Elders Lodge, Cultural Centre, Medical Centre; civil enabling infrastructure completing 2027; design procurement begins 2026-27 — $100M CIB infrastructure loan (financial close March 2025) enables water/wastewater/roads on 256-acre reserve development. These civil works are completing by 2027, triggering the community building phase: Elders Lodge, Cultural Centre, Health Facility (medical centre), new office and retail space. B</w:t>
      </w:r>
    </w:p>
    <w:p>
      <w:r>
        <w:rPr>
          <w:b/>
        </w:rPr>
        <w:t xml:space="preserve">• SE_OPEN: </w:t>
      </w:r>
      <w:r>
        <w:t xml:space="preserve">Tawaw Architecture Collective — Independent Alberta First Nations commissions — ongoing, SE pattern unknown — Tawaw has demonstrated capacity for independent AB-origin commissions separate from their KPMB-led work. No public credits for SE on any independent Tawaw project found. Indigenous community projects (housing, community centres, health) in AB typically use CMHC or federal procurement where architect often selects SE.</w:t>
      </w:r>
    </w:p>
    <w:p>
      <w:r>
        <w:rPr>
          <w:b/>
        </w:rPr>
        <w:t xml:space="preserve">• SE_LOCKED: </w:t>
      </w:r>
      <w:r>
        <w:t xml:space="preserve">Tawaw Architecture Collective — Arts Commons Transformation, Calgary — Entuitive confirmed SE (KPMB-led, Tawaw as sub) — LOCKED. Tawaw is a sub-architect to KPMB on Arts Commons Transformation. KPMB selected Entuitive as structural engineer. Tawaw did NOT control this SE selection. Remove from any open pursuit list. Steven Meldrum is Tawaw's active staff on this project.</w:t>
      </w:r>
    </w:p>
    <w:p>
      <w:r>
        <w:rPr>
          <w:b/>
        </w:rPr>
        <w:t xml:space="preserve">• SE_OPEN: </w:t>
      </w:r>
      <w:r>
        <w:t xml:space="preserve">Tawaw Architecture Collective — NCTR Permanent Home — National Centre for Truth and Reconciliation, University of Manitoba Fort Garry Campus ($88.5M+) — CONFIRMED: Tawaw Architecture Collective is the selected Design Architect for the NCTR permanent home on Southwood Circle lands, University of Manitoba Fort Garry Campus. Announced April 7, 2026. Federal project ($88.5M+ estimated). The building will be an international learning lodge and sacred gathering place. SE has NOT been publicly selected</w:t>
      </w:r>
    </w:p>
    <w:p>
      <w:r>
        <w:rPr>
          <w:b/>
        </w:rPr>
        <w:t xml:space="preserve">• LeadershipChange: </w:t>
      </w:r>
      <w:r>
        <w:t xml:space="preserve">MST Development Corporation — Co-partner (Crown corporation) departure: Canada Lands Corporation — MST is in process of buying out CLC's stake in both Jericho and Heather Lands, per Storeys reporting — will become 100% MST-controlled. CLC no longer a decision-maker on SE once buyout closes.</w:t>
      </w:r>
    </w:p>
    <w:p>
      <w:r>
        <w:rPr>
          <w:b/>
        </w:rPr>
        <w:t xml:space="preserve">• LeadershipChange: </w:t>
      </w:r>
      <w:r>
        <w:t xml:space="preserve">Okanagan Indian Band (OKIB) — New Chief — Dan Wilson, April 2025 — Dan Wilson elected as Chief in April 2025 (term to April 2027). New council seated; priorities for capital investment under new leadership not yet publicly detailed.</w:t>
      </w:r>
    </w:p>
    <w:p>
      <w:r>
        <w:rPr>
          <w:b/>
        </w:rPr>
        <w:t xml:space="preserve">• LeadershipChange: </w:t>
      </w:r>
      <w:r>
        <w:t xml:space="preserve">City of Courtenay — Chief Administrative Officer departure: Geoff Garbutt — CAO since April 2021. Background in strategic and long-range planning, sustainable community development. Formerly General Manager of Strategic and Community Development with Regional District of Nanaimo. Oversees all city operations and capital program delivery.</w:t>
      </w:r>
    </w:p>
    <w:p>
      <w:r>
        <w:rPr>
          <w:b/>
        </w:rPr>
        <w:t xml:space="preserve">• LeadershipChange: </w:t>
      </w:r>
      <w:r>
        <w:t xml:space="preserve">Glotman Simpson Consulting Engineers — Chris Smith (P.Eng.) and Harrison Glotman (P.Eng.) appointed Principals (Sept 2023)</w:t>
      </w:r>
    </w:p>
    <w:p>
      <w:r>
        <w:rPr>
          <w:b/>
        </w:rPr>
        <w:t xml:space="preserve">• SE_SOFT: </w:t>
      </w:r>
      <w:r>
        <w:t xml:space="preserve">Workun Garrick Partnership — Alberta Infrastructure DBFM model — SE in contractor consortium — Bird and Concert consortiums embed SE in their DBFM bids. WGP acts as architect under the consortium. KOR cannot access SE role on DBFM projects through WGP relationship alone.</w:t>
      </w:r>
    </w:p>
    <w:p>
      <w:r>
        <w:rPr>
          <w:b/>
        </w:rPr>
        <w:t xml:space="preserve">• SE_OPEN: </w:t>
      </w:r>
      <w:r>
        <w:t xml:space="preserve">Workun Garrick Partnership — Workun Garrick — no confirmed SE incumbent on design-bid-build projects — On DBFM projects the SE is in the contractor consortium. On traditional projects WGP selects their own SE. No public record of a locked SE relationship. KOR should approach directly.</w:t>
      </w:r>
    </w:p>
    <w:p>
      <w:pPr>
        <w:pStyle w:val="Heading2"/>
      </w:pPr>
      <w:r>
        <w:t xml:space="preserve">DISCOVER — Pre-procurement relationship-build</w:t>
      </w:r>
    </w:p>
    <w:tbl>
      <w:tblPr>
        <w:tblW w:w="5000" w:type="pct"/>
        <w:tblBorders>
          <w:top w:val="single" w:color="D5DAE0" w:sz="4"/>
          <w:left w:val="single" w:color="D5DAE0" w:sz="4"/>
          <w:bottom w:val="single" w:color="D5DAE0" w:sz="4"/>
          <w:right w:val="single" w:color="D5DAE0" w:sz="4"/>
          <w:insideH w:val="single" w:color="D5DAE0" w:sz="4"/>
          <w:insideV w:val="single" w:color="D5DAE0" w:sz="4"/>
        </w:tblBorders>
      </w:tblPr>
      <w:tblGrid>
        <w:gridCol/>
        <w:gridCol/>
        <w:gridCol/>
        <w:gridCol/>
        <w:gridCol/>
      </w:tblGrid>
      <w:tr>
        <w:tc>
          <w:tcPr>
            <w:shd w:val="clear" w:fill="3F5364"/>
          </w:tcPr>
          <w:p>
            <w:pPr>
              <w:spacing w:after="0"/>
              <w:jc w:val="right"/>
            </w:pPr>
            <w:r>
              <w:rPr>
                <w:b/>
                <w:color w:val="FFFFFF"/>
                <w:sz w:val="17"/>
              </w:rPr>
              <w:t xml:space="preserve">Id</w:t>
            </w:r>
          </w:p>
        </w:tc>
        <w:tc>
          <w:tcPr>
            <w:shd w:val="clear" w:fill="3F5364"/>
          </w:tcPr>
          <w:p>
            <w:pPr>
              <w:spacing w:after="0"/>
            </w:pPr>
            <w:r>
              <w:rPr>
                <w:b/>
                <w:color w:val="FFFFFF"/>
                <w:sz w:val="17"/>
              </w:rPr>
              <w:t xml:space="preserve">Project</w:t>
            </w:r>
          </w:p>
        </w:tc>
        <w:tc>
          <w:tcPr>
            <w:shd w:val="clear" w:fill="3F5364"/>
          </w:tcPr>
          <w:p>
            <w:pPr>
              <w:spacing w:after="0"/>
            </w:pPr>
            <w:r>
              <w:rPr>
                <w:b/>
                <w:color w:val="FFFFFF"/>
                <w:sz w:val="17"/>
              </w:rPr>
              <w:t xml:space="preserve">Proponent</w:t>
            </w:r>
          </w:p>
        </w:tc>
        <w:tc>
          <w:tcPr>
            <w:shd w:val="clear" w:fill="3F5364"/>
          </w:tcPr>
          <w:p>
            <w:pPr>
              <w:spacing w:after="0"/>
            </w:pPr>
            <w:r>
              <w:rPr>
                <w:b/>
                <w:color w:val="FFFFFF"/>
                <w:sz w:val="17"/>
              </w:rPr>
              <w:t xml:space="preserve">Province</w:t>
            </w:r>
          </w:p>
        </w:tc>
        <w:tc>
          <w:tcPr>
            <w:shd w:val="clear" w:fill="3F5364"/>
          </w:tcPr>
          <w:p>
            <w:pPr>
              <w:spacing w:after="0"/>
              <w:jc w:val="right"/>
            </w:pPr>
            <w:r>
              <w:rPr>
                <w:b/>
                <w:color w:val="FFFFFF"/>
                <w:sz w:val="17"/>
              </w:rPr>
              <w:t xml:space="preserve">Cost</w:t>
            </w:r>
          </w:p>
        </w:tc>
      </w:tr>
      <w:tr>
        <w:tc>
          <w:p>
            <w:pPr>
              <w:spacing w:after="0"/>
              <w:jc w:val="right"/>
            </w:pPr>
            <w:r>
              <w:rPr>
                <w:sz w:val="17"/>
              </w:rPr>
              <w:t xml:space="preserve">3221</w:t>
            </w:r>
          </w:p>
        </w:tc>
        <w:tc>
          <w:p>
            <w:pPr>
              <w:spacing w:after="0"/>
            </w:pPr>
            <w:r>
              <w:rPr>
                <w:sz w:val="17"/>
              </w:rPr>
              <w:t xml:space="preserve">Heather Lands</w:t>
            </w:r>
          </w:p>
        </w:tc>
        <w:tc>
          <w:p>
            <w:pPr>
              <w:spacing w:after="0"/>
            </w:pPr>
            <w:r>
              <w:rPr>
                <w:sz w:val="17"/>
              </w:rPr>
              <w:t xml:space="preserve">MST Development Corporation + </w:t>
            </w:r>
          </w:p>
        </w:tc>
        <w:tc>
          <w:p>
            <w:pPr>
              <w:spacing w:after="0"/>
            </w:pPr>
            <w:r>
              <w:rPr>
                <w:sz w:val="17"/>
              </w:rPr>
              <w:t xml:space="preserve">BC</w:t>
            </w:r>
          </w:p>
        </w:tc>
        <w:tc>
          <w:p>
            <w:pPr>
              <w:spacing w:after="0"/>
              <w:jc w:val="right"/>
            </w:pPr>
            <w:r>
              <w:rPr>
                <w:sz w:val="17"/>
              </w:rPr>
              <w:t xml:space="preserve"/>
            </w:r>
          </w:p>
        </w:tc>
      </w:tr>
      <w:tr>
        <w:tc>
          <w:tcPr>
            <w:shd w:val="clear" w:fill="F4F6F8"/>
          </w:tcPr>
          <w:p>
            <w:pPr>
              <w:spacing w:after="0"/>
              <w:jc w:val="right"/>
            </w:pPr>
            <w:r>
              <w:rPr>
                <w:sz w:val="17"/>
              </w:rPr>
              <w:t xml:space="preserve">3220</w:t>
            </w:r>
          </w:p>
        </w:tc>
        <w:tc>
          <w:tcPr>
            <w:shd w:val="clear" w:fill="F4F6F8"/>
          </w:tcPr>
          <w:p>
            <w:pPr>
              <w:spacing w:after="0"/>
            </w:pPr>
            <w:r>
              <w:rPr>
                <w:sz w:val="17"/>
              </w:rPr>
              <w:t xml:space="preserve">Jericho Lands (ʔəy̓alməxʷ/Iy̓álmexw)</w:t>
            </w:r>
          </w:p>
        </w:tc>
        <w:tc>
          <w:tcPr>
            <w:shd w:val="clear" w:fill="F4F6F8"/>
          </w:tcPr>
          <w:p>
            <w:pPr>
              <w:spacing w:after="0"/>
            </w:pPr>
            <w:r>
              <w:rPr>
                <w:sz w:val="17"/>
              </w:rPr>
              <w:t xml:space="preserve">MST Development Corporation +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6911</w:t>
            </w:r>
          </w:p>
        </w:tc>
        <w:tc>
          <w:p>
            <w:pPr>
              <w:spacing w:after="0"/>
            </w:pPr>
            <w:r>
              <w:rPr>
                <w:sz w:val="17"/>
              </w:rPr>
              <w:t xml:space="preserve">Jericho Lands Phase 1 — ʔəy̓alməxʷ/Iy̓álmexw/Jericho Lands (</w:t>
            </w:r>
          </w:p>
        </w:tc>
        <w:tc>
          <w:p>
            <w:pPr>
              <w:spacing w:after="0"/>
            </w:pPr>
            <w:r>
              <w:rPr>
                <w:sz w:val="17"/>
              </w:rPr>
              <w:t xml:space="preserve">MST Partnership (Musqueam, Squ</w:t>
            </w:r>
          </w:p>
        </w:tc>
        <w:tc>
          <w:p>
            <w:pPr>
              <w:spacing w:after="0"/>
            </w:pPr>
            <w:r>
              <w:rPr>
                <w:sz w:val="17"/>
              </w:rPr>
              <w:t xml:space="preserve">BC</w:t>
            </w:r>
          </w:p>
        </w:tc>
        <w:tc>
          <w:p>
            <w:pPr>
              <w:spacing w:after="0"/>
              <w:jc w:val="right"/>
            </w:pPr>
            <w:r>
              <w:rPr>
                <w:sz w:val="17"/>
              </w:rPr>
              <w:t xml:space="preserve">Multi-billion over 25-year build-out; Phase 1 cost not yet disclosed</w:t>
            </w:r>
          </w:p>
        </w:tc>
      </w:tr>
      <w:tr>
        <w:tc>
          <w:tcPr>
            <w:shd w:val="clear" w:fill="F4F6F8"/>
          </w:tcPr>
          <w:p>
            <w:pPr>
              <w:spacing w:after="0"/>
              <w:jc w:val="right"/>
            </w:pPr>
            <w:r>
              <w:rPr>
                <w:sz w:val="17"/>
              </w:rPr>
              <w:t xml:space="preserve">4876</w:t>
            </w:r>
          </w:p>
        </w:tc>
        <w:tc>
          <w:tcPr>
            <w:shd w:val="clear" w:fill="F4F6F8"/>
          </w:tcPr>
          <w:p>
            <w:pPr>
              <w:spacing w:after="0"/>
            </w:pPr>
            <w:r>
              <w:rPr>
                <w:sz w:val="17"/>
              </w:rPr>
              <w:t xml:space="preserve">leləm̓ Block F Towers (5 Towers, 22–34 Storeys)</w:t>
            </w:r>
          </w:p>
        </w:tc>
        <w:tc>
          <w:tcPr>
            <w:shd w:val="clear" w:fill="F4F6F8"/>
          </w:tcPr>
          <w:p>
            <w:pPr>
              <w:spacing w:after="0"/>
            </w:pPr>
            <w:r>
              <w:rPr>
                <w:sz w:val="17"/>
              </w:rPr>
              <w:t xml:space="preserve">Musqueam Capital Corporation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3223</w:t>
            </w:r>
          </w:p>
        </w:tc>
        <w:tc>
          <w:p>
            <w:pPr>
              <w:spacing w:after="0"/>
            </w:pPr>
            <w:r>
              <w:rPr>
                <w:sz w:val="17"/>
              </w:rPr>
              <w:t xml:space="preserve">Liquor Distribution Branch (LDB) Site</w:t>
            </w:r>
          </w:p>
        </w:tc>
        <w:tc>
          <w:p>
            <w:pPr>
              <w:spacing w:after="0"/>
            </w:pPr>
            <w:r>
              <w:rPr>
                <w:sz w:val="17"/>
              </w:rPr>
              <w:t xml:space="preserve">MST Development Corporation + </w:t>
            </w:r>
          </w:p>
        </w:tc>
        <w:tc>
          <w:p>
            <w:pPr>
              <w:spacing w:after="0"/>
            </w:pPr>
            <w:r>
              <w:rPr>
                <w:sz w:val="17"/>
              </w:rPr>
              <w:t xml:space="preserve">BC</w:t>
            </w:r>
          </w:p>
        </w:tc>
        <w:tc>
          <w:p>
            <w:pPr>
              <w:spacing w:after="0"/>
              <w:jc w:val="right"/>
            </w:pPr>
            <w:r>
              <w:rPr>
                <w:sz w:val="17"/>
              </w:rPr>
              <w:t xml:space="preserve"/>
            </w:r>
          </w:p>
        </w:tc>
      </w:tr>
      <w:tr>
        <w:tc>
          <w:tcPr>
            <w:shd w:val="clear" w:fill="F4F6F8"/>
          </w:tcPr>
          <w:p>
            <w:pPr>
              <w:spacing w:after="0"/>
              <w:jc w:val="right"/>
            </w:pPr>
            <w:r>
              <w:rPr>
                <w:sz w:val="17"/>
              </w:rPr>
              <w:t xml:space="preserve">7103</w:t>
            </w:r>
          </w:p>
        </w:tc>
        <w:tc>
          <w:tcPr>
            <w:shd w:val="clear" w:fill="F4F6F8"/>
          </w:tcPr>
          <w:p>
            <w:pPr>
              <w:spacing w:after="0"/>
            </w:pPr>
            <w:r>
              <w:rPr>
                <w:sz w:val="17"/>
              </w:rPr>
              <w:t xml:space="preserve">Maskwacis Cultural College – New Campus Complex</w:t>
            </w:r>
          </w:p>
        </w:tc>
        <w:tc>
          <w:tcPr>
            <w:shd w:val="clear" w:fill="F4F6F8"/>
          </w:tcPr>
          <w:p>
            <w:pPr>
              <w:spacing w:after="0"/>
            </w:pPr>
            <w:r>
              <w:rPr>
                <w:sz w:val="17"/>
              </w:rPr>
              <w:t xml:space="preserve">Maskwacis Cultural College / M</w:t>
            </w:r>
          </w:p>
        </w:tc>
        <w:tc>
          <w:tcPr>
            <w:shd w:val="clear" w:fill="F4F6F8"/>
          </w:tcPr>
          <w:p>
            <w:pPr>
              <w:spacing w:after="0"/>
            </w:pPr>
            <w:r>
              <w:rPr>
                <w:sz w:val="17"/>
              </w:rPr>
              <w:t xml:space="preserve">AB</w:t>
            </w:r>
          </w:p>
        </w:tc>
        <w:tc>
          <w:tcPr>
            <w:shd w:val="clear" w:fill="F4F6F8"/>
          </w:tcPr>
          <w:p>
            <w:pPr>
              <w:spacing w:after="0"/>
              <w:jc w:val="right"/>
            </w:pPr>
            <w:r>
              <w:rPr>
                <w:sz w:val="17"/>
              </w:rPr>
              <w:t xml:space="preserve"/>
            </w:r>
          </w:p>
        </w:tc>
      </w:tr>
      <w:tr>
        <w:tc>
          <w:p>
            <w:pPr>
              <w:spacing w:after="0"/>
              <w:jc w:val="right"/>
            </w:pPr>
            <w:r>
              <w:rPr>
                <w:sz w:val="17"/>
              </w:rPr>
              <w:t xml:space="preserve">6909</w:t>
            </w:r>
          </w:p>
        </w:tc>
        <w:tc>
          <w:p>
            <w:pPr>
              <w:spacing w:after="0"/>
            </w:pPr>
            <w:r>
              <w:rPr>
                <w:sz w:val="17"/>
              </w:rPr>
              <w:t xml:space="preserve">Sen̓áḵw Phase 2 — Towers 4–6 (Squamish Nation / OPTrust)</w:t>
            </w:r>
          </w:p>
        </w:tc>
        <w:tc>
          <w:p>
            <w:pPr>
              <w:spacing w:after="0"/>
            </w:pPr>
            <w:r>
              <w:rPr>
                <w:sz w:val="17"/>
              </w:rPr>
              <w:t xml:space="preserve">Squamish Nation / OPTrust</w:t>
            </w:r>
          </w:p>
        </w:tc>
        <w:tc>
          <w:p>
            <w:pPr>
              <w:spacing w:after="0"/>
            </w:pPr>
            <w:r>
              <w:rPr>
                <w:sz w:val="17"/>
              </w:rPr>
              <w:t xml:space="preserve">BC</w:t>
            </w:r>
          </w:p>
        </w:tc>
        <w:tc>
          <w:p>
            <w:pPr>
              <w:spacing w:after="0"/>
              <w:jc w:val="right"/>
            </w:pPr>
            <w:r>
              <w:rPr>
                <w:sz w:val="17"/>
              </w:rPr>
              <w:t xml:space="preserve">Not publicly disclosed; Phase 1 (3 towers) suggests $500M+ per phase</w:t>
            </w:r>
          </w:p>
        </w:tc>
      </w:tr>
      <w:tr>
        <w:tc>
          <w:tcPr>
            <w:shd w:val="clear" w:fill="F4F6F8"/>
          </w:tcPr>
          <w:p>
            <w:pPr>
              <w:spacing w:after="0"/>
              <w:jc w:val="right"/>
            </w:pPr>
            <w:r>
              <w:rPr>
                <w:sz w:val="17"/>
              </w:rPr>
              <w:t xml:space="preserve">4882</w:t>
            </w:r>
          </w:p>
        </w:tc>
        <w:tc>
          <w:tcPr>
            <w:shd w:val="clear" w:fill="F4F6F8"/>
          </w:tcPr>
          <w:p>
            <w:pPr>
              <w:spacing w:after="0"/>
            </w:pPr>
            <w:r>
              <w:rPr>
                <w:sz w:val="17"/>
              </w:rPr>
              <w:t xml:space="preserve">statləw̓ District — Maplewood Innovation District (Addition </w:t>
            </w:r>
          </w:p>
        </w:tc>
        <w:tc>
          <w:tcPr>
            <w:shd w:val="clear" w:fill="F4F6F8"/>
          </w:tcPr>
          <w:p>
            <w:pPr>
              <w:spacing w:after="0"/>
            </w:pPr>
            <w:r>
              <w:rPr>
                <w:sz w:val="17"/>
              </w:rPr>
              <w:t xml:space="preserve">Tsleil-Waututh Nation</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6913</w:t>
            </w:r>
          </w:p>
        </w:tc>
        <w:tc>
          <w:p>
            <w:pPr>
              <w:spacing w:after="0"/>
            </w:pPr>
            <w:r>
              <w:rPr>
                <w:sz w:val="17"/>
              </w:rPr>
              <w:t xml:space="preserve">Statləw̓ District — Tsleil-Waututh North Shore Innovation Di</w:t>
            </w:r>
          </w:p>
        </w:tc>
        <w:tc>
          <w:p>
            <w:pPr>
              <w:spacing w:after="0"/>
            </w:pPr>
            <w:r>
              <w:rPr>
                <w:sz w:val="17"/>
              </w:rPr>
              <w:t xml:space="preserve">Tsleil-Waututh Nation</w:t>
            </w:r>
          </w:p>
        </w:tc>
        <w:tc>
          <w:p>
            <w:pPr>
              <w:spacing w:after="0"/>
            </w:pPr>
            <w:r>
              <w:rPr>
                <w:sz w:val="17"/>
              </w:rPr>
              <w:t xml:space="preserve">BC</w:t>
            </w:r>
          </w:p>
        </w:tc>
        <w:tc>
          <w:p>
            <w:pPr>
              <w:spacing w:after="0"/>
              <w:jc w:val="right"/>
            </w:pPr>
            <w:r>
              <w:rPr>
                <w:sz w:val="17"/>
              </w:rPr>
              <w:t xml:space="preserve">Not publicly disclosed; 45-acre site; ~4,500 jobs targeted by 2030</w:t>
            </w:r>
          </w:p>
        </w:tc>
      </w:tr>
      <w:tr>
        <w:tc>
          <w:tcPr>
            <w:shd w:val="clear" w:fill="F4F6F8"/>
          </w:tcPr>
          <w:p>
            <w:pPr>
              <w:spacing w:after="0"/>
              <w:jc w:val="right"/>
            </w:pPr>
            <w:r>
              <w:rPr>
                <w:sz w:val="17"/>
              </w:rPr>
              <w:t xml:space="preserve">4843</w:t>
            </w:r>
          </w:p>
        </w:tc>
        <w:tc>
          <w:tcPr>
            <w:shd w:val="clear" w:fill="F4F6F8"/>
          </w:tcPr>
          <w:p>
            <w:pPr>
              <w:spacing w:after="0"/>
            </w:pPr>
            <w:r>
              <w:rPr>
                <w:sz w:val="17"/>
              </w:rPr>
              <w:t xml:space="preserve">te'tuxwtun (Camp Nanaimo Lands) Mixed-Use Development — 102 </w:t>
            </w:r>
          </w:p>
        </w:tc>
        <w:tc>
          <w:tcPr>
            <w:shd w:val="clear" w:fill="F4F6F8"/>
          </w:tcPr>
          <w:p>
            <w:pPr>
              <w:spacing w:after="0"/>
            </w:pPr>
            <w:r>
              <w:rPr>
                <w:sz w:val="17"/>
              </w:rPr>
              <w:t xml:space="preserve">Petroglyph Development Group /</w:t>
            </w:r>
          </w:p>
        </w:tc>
        <w:tc>
          <w:tcPr>
            <w:shd w:val="clear" w:fill="F4F6F8"/>
          </w:tcPr>
          <w:p>
            <w:pPr>
              <w:spacing w:after="0"/>
            </w:pPr>
            <w:r>
              <w:rPr>
                <w:sz w:val="17"/>
              </w:rPr>
              <w:t xml:space="preserve">BC</w:t>
            </w:r>
          </w:p>
        </w:tc>
        <w:tc>
          <w:tcPr>
            <w:shd w:val="clear" w:fill="F4F6F8"/>
          </w:tcPr>
          <w:p>
            <w:pPr>
              <w:spacing w:after="0"/>
              <w:jc w:val="right"/>
            </w:pPr>
            <w:r>
              <w:rPr>
                <w:sz w:val="17"/>
              </w:rPr>
              <w:t xml:space="preserve"/>
            </w:r>
          </w:p>
        </w:tc>
      </w:tr>
      <w:tr>
        <w:tc>
          <w:p>
            <w:pPr>
              <w:spacing w:after="0"/>
              <w:jc w:val="right"/>
            </w:pPr>
            <w:r>
              <w:rPr>
                <w:sz w:val="17"/>
              </w:rPr>
              <w:t xml:space="preserve">3222</w:t>
            </w:r>
          </w:p>
        </w:tc>
        <w:tc>
          <w:p>
            <w:pPr>
              <w:spacing w:after="0"/>
            </w:pPr>
            <w:r>
              <w:rPr>
                <w:sz w:val="17"/>
              </w:rPr>
              <w:t xml:space="preserve">Willingdon Lands</w:t>
            </w:r>
          </w:p>
        </w:tc>
        <w:tc>
          <w:p>
            <w:pPr>
              <w:spacing w:after="0"/>
            </w:pPr>
            <w:r>
              <w:rPr>
                <w:sz w:val="17"/>
              </w:rPr>
              <w:t xml:space="preserve">Musqueam + Tsleil-Waututh + Aq</w:t>
            </w:r>
          </w:p>
        </w:tc>
        <w:tc>
          <w:p>
            <w:pPr>
              <w:spacing w:after="0"/>
            </w:pPr>
            <w:r>
              <w:rPr>
                <w:sz w:val="17"/>
              </w:rPr>
              <w:t xml:space="preserve">BC</w:t>
            </w:r>
          </w:p>
        </w:tc>
        <w:tc>
          <w:p>
            <w:pPr>
              <w:spacing w:after="0"/>
              <w:jc w:val="right"/>
            </w:pPr>
            <w:r>
              <w:rPr>
                <w:sz w:val="17"/>
              </w:rPr>
              <w:t xml:space="preserve"/>
            </w:r>
          </w:p>
        </w:tc>
      </w:tr>
    </w:tbl>
    <w:p>
      <w:r>
        <w:t xml:space="preserve"/>
      </w:r>
    </w:p>
    <w:p>
      <w:pPr>
        <w:pStyle w:val="Heading2"/>
      </w:pPr>
      <w:r>
        <w:t xml:space="preserve">DEAD — Locked (Alliance / P3 / captive / Delivered)</w:t>
      </w:r>
    </w:p>
    <w:p>
      <w:r>
        <w:t xml:space="preserve">None in this honing pass.</w:t>
      </w:r>
    </w:p>
    <w:p>
      <w:pPr>
        <w:pStyle w:val="Heading2"/>
      </w:pPr>
      <w:r>
        <w:t xml:space="preserve">Strategic Synthesis</w:t>
      </w:r>
    </w:p>
    <w:p>
      <w:pPr>
        <w:pStyle w:val="Heading3"/>
      </w:pPr>
      <w:r>
        <w:t xml:space="preserve">Lower Mainland Nation development corp dominance</w:t>
      </w:r>
    </w:p>
    <w:p>
      <w:r>
        <w:t xml:space="preserve">Squamish Nation, Musqueam, Tsleil-Waututh control major Lower Mainland development pipelines (Senakw, Jericho Lands, Langara YMCA, Maplewood / statləw̓ District). These are billion-dollar multi-tower phased developments where structural-eng selection happens early in each phase. KOR's Lower Mainland concrete tower expertise is direct fit. Build relationships with the Development Corps directly: Senakw Development Corp (Squamish), MST Development Corporation (Musqueam-Squamish-Tsleil-Waututh).</w:t>
      </w:r>
    </w:p>
    <w:p>
      <w:pPr>
        <w:pStyle w:val="Heading3"/>
      </w:pPr>
      <w:r>
        <w:t xml:space="preserve">Vancouver Island Nation housing wave</w:t>
      </w:r>
    </w:p>
    <w:p>
      <w:r>
        <w:t xml:space="preserve">Tla'amin, Snuneymuxw, Tseshaht, Uchucklesaht, K'ómoks all have multi-unit affordable housing programs with BC Housing or CMHC co-funding. Smaller per-project value but RECURRING. Nation-level relationships compound across multiple project phases.</w:t>
      </w:r>
    </w:p>
    <w:p>
      <w:pPr>
        <w:pStyle w:val="Heading3"/>
      </w:pPr>
      <w:r>
        <w:t xml:space="preserve">Indigenous-owned structural firm requirement caution</w:t>
      </w:r>
    </w:p>
    <w:p>
      <w:r>
        <w:t xml:space="preserve">A growing number of Indigenous procurements require Indigenous-owned firms on the prime team. KOR is NOT Indigenous-owned. The play is: (1) sub-consultant to an Indigenous-led prime architect (Two Row Architect, Smoke Architecture, Brook McIlroy), (2) sub-consultant to a non-Indigenous prime with strong Indigenous track record (Stantec, DIALOG, IBI/Arcadis), or (3) joint-venture / teaming with an Indigenous-owned engineering firm for specific pursuits — KOR now has a named partner for option (3): see Gwaii Engineering below.</w:t>
      </w:r>
    </w:p>
    <w:p>
      <w:pPr>
        <w:pStyle w:val="Heading3"/>
      </w:pPr>
      <w:r>
        <w:t xml:space="preserve">Named Indigenous-owned engineering partner — Gwaii Engineering (Victoria)</w:t>
      </w:r>
    </w:p>
    <w:p>
      <w:r>
        <w:t xml:space="preserve">Gwaii Engineering (gwaiieng.com) is an Indigenous-owned (Haida) CCAB-certified civil &amp; environmental engineering firm, Victoria BC, founded 2017 by Corey Brown (Sta'staas Eagle Clan, Old Masset). ~20+ staff. It is the incumbent civil engineer for 25+ coastal-BC / Vancouver Island First Nations (Malahat, Cowichan, Tsawout, Tsawwassen, Songhees, Ditidaht, Ucluelet, Tla'amin, K'ómoks, Haida Nation) plus BC Housing — the same owners this pipeline tracks.</w:t>
      </w:r>
    </w:p>
    <w:p>
      <w:r>
        <w:t xml:space="preserve">WHY IT SOLVES THE CAUTION: civil (Gwaii) and structural (KOR) are complementary, non-competing disciplines. A KOR-structural + Gwaii-civil team satisfies the Indigenous-owned-firm / participation requirement (CCAB) AND brings Gwaii's standing with the Nation/owner — turning the 'KOR is not Indigenous-owned' blocker into a strength. No prior KOR–Gwaii contractual history (net-new white space).</w:t>
      </w:r>
    </w:p>
    <w:p>
      <w:r>
        <w:t xml:space="preserve">Sibling firm: Islander Engineering (Victoria, civil/land-dev) shares founder Corey Brown + staff — covers the conventional-market Island lane. Single relationship (Corey Brown, cbrown@gwaiieng.com; Brandon Ducharme, Capital Advisory, bducharme@gwaiieng.com) opens both. Full dossiers: docs/KOR-Gwaii-Engineering-Dossier + KOR-Islander-Gwaii-Exec-Teaming-Brief (2026-06-23).</w:t>
      </w:r>
    </w:p>
    <w:p>
      <w:pPr>
        <w:pStyle w:val="Heading2"/>
      </w:pPr>
      <w:r>
        <w:t xml:space="preserve">Recommended next actions</w:t>
      </w:r>
    </w:p>
    <w:p>
      <w:r>
        <w:t xml:space="preserve">1. Squamish Nation relationship play — Build 600 Affordable Homes Action Plan (Id 4873) + Sen̓áḵw Phases 3-4 (Id 6910). One named warm-intro target via Senakw Development Corp or via past architect.</w:t>
      </w:r>
    </w:p>
    <w:p>
      <w:r>
        <w:t xml:space="preserve">2. Musqueam-Tsleil-Waututh development corp — Jericho Lands Phase 1 (Id 6911) + Maplewood Innovation District (Id 4882) + statləw̓ District (Id 6913). MST Development Corp is the gate. KOR should target this single development corp relationship for compounding returns across Phase 1-N.</w:t>
      </w:r>
    </w:p>
    <w:p>
      <w:r>
        <w:t xml:space="preserve">3. VI housing wave — APD Lands Port Alberni (Id 4846), te'tuxwtun Camp Nanaimo (Id 4843), Redford Uchucklesaht (Id 5821). Smaller pursuits each but cumulative. Identify a Nation-relationship consultant or past-architect channel.</w:t>
      </w:r>
    </w:p>
    <w:p>
      <w:r>
        <w:t xml:space="preserve">4. AB Alexander First Nation Mamawatoskewin (Id 6999) — single PURSUE in AB. Direct opportunity if warm-intro path identified.</w:t>
      </w:r>
    </w:p>
    <w:sectPr>
      <w:pgMar w:top="720" w:right="1080" w:bottom="720" w:left="1080"/>
    </w:sectPr>
  </w:body>
</w:document>
</file>

<file path=word/styles.xml><?xml version="1.0" encoding="utf-8"?>
<w:styles xmlns:w="http://schemas.openxmlformats.org/wordprocessingml/2006/main">
  <w:style w:type="paragraph" w:styleId="Normal" w:default="true">
    <w:name w:val="Normal"/>
    <w:qFormat/>
    <w:pPr>
      <w:spacing w:after="80" w:line="240" w:lineRule="auto"/>
    </w:pPr>
    <w:rPr>
      <w:rFonts w:ascii="Calibri" w:hAnsi="Calibri"/>
      <w:sz w:val="20"/>
    </w:rPr>
  </w:style>
  <w:style w:type="paragraph" w:styleId="Heading1">
    <w:name w:val="heading 1"/>
    <w:basedOn w:val="Normal"/>
    <w:next w:val="Normal"/>
    <w:qFormat/>
    <w:pPr>
      <w:keepNext/>
      <w:pBdr>
        <w:bottom w:val="single" w:color="FF5B35" w:sz="12" w:space="2"/>
      </w:pBdr>
      <w:spacing w:before="0" w:after="160"/>
      <w:outlineLvl w:val="0"/>
    </w:pPr>
    <w:rPr>
      <w:rFonts w:ascii="Calibri" w:hAnsi="Calibri"/>
      <w:b/>
      <w:color w:val="3F5364"/>
      <w:sz w:val="32"/>
    </w:rPr>
  </w:style>
  <w:style w:type="paragraph" w:styleId="Heading2">
    <w:name w:val="heading 2"/>
    <w:basedOn w:val="Normal"/>
    <w:next w:val="Normal"/>
    <w:qFormat/>
    <w:pPr>
      <w:keepNext/>
      <w:pBdr>
        <w:bottom w:val="single" w:color="FF5B35" w:sz="6" w:space="2"/>
      </w:pBdr>
      <w:spacing w:before="320" w:after="80"/>
      <w:outlineLvl w:val="1"/>
    </w:pPr>
    <w:rPr>
      <w:rFonts w:ascii="Calibri" w:hAnsi="Calibri"/>
      <w:b/>
      <w:color w:val="3F5364"/>
      <w:sz w:val="24"/>
    </w:rPr>
  </w:style>
  <w:style w:type="paragraph" w:styleId="Heading3">
    <w:name w:val="heading 3"/>
    <w:basedOn w:val="Normal"/>
    <w:next w:val="Normal"/>
    <w:qFormat/>
    <w:pPr>
      <w:keepNext/>
      <w:spacing w:before="160" w:after="40"/>
      <w:outlineLvl w:val="2"/>
    </w:pPr>
    <w:rPr>
      <w:rFonts w:ascii="Calibri" w:hAnsi="Calibri"/>
      <w:b/>
      <w:color w:val="3F5364"/>
      <w:sz w:val="21"/>
    </w:rPr>
  </w:style>
</w:styles>
</file>

<file path=word/_rels/document.xml.rels>&#65279;<?xml version="1.0" encoding="utf-8"?><Relationships xmlns="http://schemas.openxmlformats.org/package/2006/relationships"><Relationship Type="http://schemas.openxmlformats.org/officeDocument/2006/relationships/styles" Target="/word/styles.xml" Id="R6c7fc01d76df4a29" /></Relationships>
</file>