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BEC16" w14:textId="77777777" w:rsidR="00726B79" w:rsidRDefault="00EE7DF4">
      <w:pPr>
        <w:pStyle w:val="Heading1"/>
      </w:pPr>
      <w:bookmarkStart w:id="0" w:name="dialog-structural-outsourcing-brief"/>
      <w:r>
        <w:t>DIALOG — Structural Outsourcing Brief</w:t>
      </w:r>
    </w:p>
    <w:p w14:paraId="4B7D0319" w14:textId="77777777" w:rsidR="00726B79" w:rsidRDefault="00EE7DF4">
      <w:pPr>
        <w:pStyle w:val="FirstParagraph"/>
      </w:pPr>
      <w:r>
        <w:rPr>
          <w:b/>
          <w:bCs/>
        </w:rPr>
        <w:t>KOR Structural · July 10 2026 meeting · Verified 2026-07-01 (5 research + 6 fact-check passes + independent red-team with 3 further adversarial verifications; ~60 projects catalogued firm-wide)</w:t>
      </w:r>
    </w:p>
    <w:p w14:paraId="15ECC0B5" w14:textId="77777777" w:rsidR="00726B79" w:rsidRDefault="00EE7DF4">
      <w:pPr>
        <w:pStyle w:val="BodyText"/>
      </w:pPr>
      <w:r>
        <w:t xml:space="preserve">Claims are </w:t>
      </w:r>
      <w:r>
        <w:rPr>
          <w:b/>
          <w:bCs/>
        </w:rPr>
        <w:t>[V]</w:t>
      </w:r>
      <w:r>
        <w:t xml:space="preserve"> verified (primary source) or </w:t>
      </w:r>
      <w:r>
        <w:rPr>
          <w:b/>
          <w:bCs/>
        </w:rPr>
        <w:t>[H]</w:t>
      </w:r>
      <w:r>
        <w:t xml:space="preserve"> hypothesis to test in the room. A </w:t>
      </w:r>
      <w:r>
        <w:rPr>
          <w:b/>
          <w:bCs/>
        </w:rPr>
        <w:t>“Do NOT say”</w:t>
      </w:r>
      <w:r>
        <w:t xml:space="preserve"> list is at the end. Primary contact: </w:t>
      </w:r>
      <w:r>
        <w:rPr>
          <w:b/>
          <w:bCs/>
        </w:rPr>
        <w:t>Georg Josi</w:t>
      </w:r>
      <w:r>
        <w:t xml:space="preserve"> — Partner, Structural Engineer, Edmonton Studio Chair (PhD, PEng).</w:t>
      </w:r>
    </w:p>
    <w:p w14:paraId="36A9A570" w14:textId="77777777" w:rsidR="00726B79" w:rsidRDefault="00EE7DF4">
      <w:pPr>
        <w:pStyle w:val="Heading2"/>
      </w:pPr>
      <w:bookmarkStart w:id="1" w:name="X3351a517e04db12830a789ebdc6413a2b8dd05f"/>
      <w:r>
        <w:t>Bottom line — what DIALOG outsources structural engineering for</w:t>
      </w:r>
    </w:p>
    <w:p w14:paraId="253C90AE" w14:textId="77777777" w:rsidR="00726B79" w:rsidRDefault="00EE7DF4">
      <w:pPr>
        <w:pStyle w:val="FirstParagraph"/>
      </w:pPr>
      <w:r>
        <w:t xml:space="preserve">DIALOG self-performs the bulk of its structural with a deep multidisciplinary bench. External (or co-) structural engineers appear in </w:t>
      </w:r>
      <w:r>
        <w:rPr>
          <w:b/>
          <w:bCs/>
        </w:rPr>
        <w:t>five recurring situations</w:t>
      </w:r>
      <w:r>
        <w:t xml:space="preserve"> [V]:</w:t>
      </w:r>
    </w:p>
    <w:p w14:paraId="1F8738A2" w14:textId="77777777" w:rsidR="00726B79" w:rsidRDefault="00EE7DF4">
      <w:pPr>
        <w:pStyle w:val="Compact"/>
        <w:numPr>
          <w:ilvl w:val="0"/>
          <w:numId w:val="2"/>
        </w:numPr>
      </w:pPr>
      <w:r>
        <w:rPr>
          <w:b/>
          <w:bCs/>
        </w:rPr>
        <w:t>Tower work, where the developer procures structural separately from architecture.</w:t>
      </w:r>
      <w:r>
        <w:t xml:space="preserve"> On high-rises, DIALOG plays </w:t>
      </w:r>
      <w:r>
        <w:rPr>
          <w:i/>
          <w:iCs/>
        </w:rPr>
        <w:t>either</w:t>
      </w:r>
      <w:r>
        <w:t xml:space="preserve"> the architect role </w:t>
      </w:r>
      <w:r>
        <w:rPr>
          <w:i/>
          <w:iCs/>
        </w:rPr>
        <w:t>or</w:t>
      </w:r>
      <w:r>
        <w:t xml:space="preserve"> </w:t>
      </w:r>
      <w:r>
        <w:t>the consulting-SE role — almost never both. As architect/AOR (usually under a design lead): Vancouver House (BIG → Glotman Simpson + BuroHappold), Brookfield Place 60st (AFK → Entuitive), The Parks (Hariri Pontarini → RJC), The Hendrix (→ RJC). As SE-only: the ex-</w:t>
      </w:r>
      <w:r>
        <w:rPr>
          <w:b/>
          <w:bCs/>
        </w:rPr>
        <w:t>Jones Kwong Kishi</w:t>
      </w:r>
      <w:r>
        <w:t xml:space="preserve"> practice (merged into DIALOG </w:t>
      </w:r>
      <w:r>
        <w:rPr>
          <w:b/>
          <w:bCs/>
        </w:rPr>
        <w:t>Oct 2013</w:t>
      </w:r>
      <w:r>
        <w:t xml:space="preserve">) engineered Shangri-La Vancouver/Toronto (62/65st), Fairmont Pacific Rim, Shaw Tower — </w:t>
      </w:r>
      <w:r>
        <w:rPr>
          <w:b/>
          <w:bCs/>
        </w:rPr>
        <w:t>for other architects (James KM Cheng)</w:t>
      </w:r>
      <w:r>
        <w:t xml:space="preserve">, not as DIALOG-prime. The only verified DIALOG-prime-with-in-house-structural building is </w:t>
      </w:r>
      <w:r>
        <w:rPr>
          <w:b/>
          <w:bCs/>
        </w:rPr>
        <w:t>Enbridge Centre (26st)</w:t>
      </w:r>
      <w:r>
        <w:t>.</w:t>
      </w:r>
    </w:p>
    <w:p w14:paraId="21945507" w14:textId="77777777" w:rsidR="00726B79" w:rsidRDefault="00EE7DF4">
      <w:pPr>
        <w:pStyle w:val="Compact"/>
        <w:numPr>
          <w:ilvl w:val="0"/>
          <w:numId w:val="2"/>
        </w:numPr>
      </w:pPr>
      <w:r>
        <w:rPr>
          <w:b/>
          <w:bCs/>
        </w:rPr>
        <w:t>A design/“star” architect leads a civic/cultural project and DIALOG is executive/AOR:</w:t>
      </w:r>
      <w:r>
        <w:t xml:space="preserve"> Calgary Central Library (Snøhetta → Entuitive), TELUS Spark (Kasian → Stantec).</w:t>
      </w:r>
    </w:p>
    <w:p w14:paraId="528EAD88" w14:textId="77777777" w:rsidR="00726B79" w:rsidRDefault="00EE7DF4">
      <w:pPr>
        <w:pStyle w:val="Compact"/>
        <w:numPr>
          <w:ilvl w:val="0"/>
          <w:numId w:val="2"/>
        </w:numPr>
      </w:pPr>
      <w:r>
        <w:rPr>
          <w:b/>
          <w:bCs/>
        </w:rPr>
        <w:t>Alberta mega-hospital design-builds led by PCL</w:t>
      </w:r>
      <w:r>
        <w:t xml:space="preserve"> → co-SE, n=2: Kaye Edmonton Clinic ~$900M (→ Yolles/now Jacobs, </w:t>
      </w:r>
      <w:r>
        <w:rPr>
          <w:i/>
          <w:iCs/>
        </w:rPr>
        <w:t>equal partners</w:t>
      </w:r>
      <w:r>
        <w:t xml:space="preserve">) and Calgary Cancer Centre $1.4B (→ DIALOG + Stantec). </w:t>
      </w:r>
      <w:r>
        <w:rPr>
          <w:b/>
          <w:bCs/>
        </w:rPr>
        <w:t>This is NOT a general scale rule:</w:t>
      </w:r>
      <w:r>
        <w:t xml:space="preserve"> </w:t>
      </w:r>
      <w:r>
        <w:t>UHN Toronto Western (~$1B, CM delivery) is fully in-house — the co-SE pattern is tied to the AB design-build consortium structure, not project size. Extrapolating it to other provinces/GCs is [H].</w:t>
      </w:r>
    </w:p>
    <w:p w14:paraId="46A418E4" w14:textId="77777777" w:rsidR="00726B79" w:rsidRDefault="00EE7DF4">
      <w:pPr>
        <w:pStyle w:val="Compact"/>
        <w:numPr>
          <w:ilvl w:val="0"/>
          <w:numId w:val="2"/>
        </w:numPr>
      </w:pPr>
      <w:r>
        <w:rPr>
          <w:b/>
          <w:bCs/>
        </w:rPr>
        <w:t>Specialist structural innovation they lack in-house</w:t>
      </w:r>
      <w:r>
        <w:t xml:space="preserve"> → pioneer seismic mass timber (Fast+Epp, The Hive), rammed earth (Equilibrium, Nk’Mip), life-sciences labs (Blackwell, Catalyst-77 Wade), forensic concrete (RJC, Glenbow), blast/security (Thornton Tomasetti, Peel Police).</w:t>
      </w:r>
    </w:p>
    <w:p w14:paraId="205BBE8B" w14:textId="77777777" w:rsidR="00726B79" w:rsidRDefault="00EE7DF4">
      <w:pPr>
        <w:pStyle w:val="Compact"/>
        <w:numPr>
          <w:ilvl w:val="0"/>
          <w:numId w:val="2"/>
        </w:numPr>
      </w:pPr>
      <w:r>
        <w:rPr>
          <w:b/>
          <w:bCs/>
        </w:rPr>
        <w:t>A studio lacking the relevant specialty</w:t>
      </w:r>
      <w:r>
        <w:t xml:space="preserve"> </w:t>
      </w:r>
      <w:r>
        <w:t xml:space="preserve">→ Vancouver’s structural practice (ex-JKK towers, Broadway Subway, community/housing) has </w:t>
      </w:r>
      <w:r>
        <w:rPr>
          <w:b/>
          <w:bCs/>
        </w:rPr>
        <w:t>no healthcare structural track record</w:t>
      </w:r>
      <w:r>
        <w:t xml:space="preserve">; Ottawa (opened 2026) has zero structural partners. </w:t>
      </w:r>
      <w:r>
        <w:rPr>
          <w:i/>
          <w:iCs/>
        </w:rPr>
        <w:t>Caveat: a gap does not force outsourcing — DIALOG cross-deployed Hildenbrandt from Calgary to do Dartmouth General (NS) in-house.</w:t>
      </w:r>
    </w:p>
    <w:p w14:paraId="7AA99A8E" w14:textId="77777777" w:rsidR="00726B79" w:rsidRDefault="00EE7DF4">
      <w:pPr>
        <w:pStyle w:val="FirstParagraph"/>
      </w:pPr>
      <w:r>
        <w:rPr>
          <w:b/>
          <w:bCs/>
        </w:rPr>
        <w:t>Self-performs (do NOT pitch):</w:t>
      </w:r>
      <w:r>
        <w:t xml:space="preserve"> </w:t>
      </w:r>
      <w:r>
        <w:t xml:space="preserve">transit/bridges (their strongest domain — Walterdale, Valley Line, Broadway Subway, airports), sports/rec, mid-rise full-suite buildings when prime (Enbridge 26st), standard CLT timber (Bill Fisch), own civic (Royal Alberta Museum, Winspear), and </w:t>
      </w:r>
      <w:r>
        <w:rPr>
          <w:b/>
          <w:bCs/>
        </w:rPr>
        <w:t>home-market healthcare at any scale outside AB design-build</w:t>
      </w:r>
      <w:r>
        <w:t xml:space="preserve"> (Grande Prairie ~$680M, Edson, UHN Toronto Western ~$1B, Markdale, Dartmouth).</w:t>
      </w:r>
    </w:p>
    <w:p w14:paraId="579B4567" w14:textId="77777777" w:rsidR="00726B79" w:rsidRDefault="00EE7DF4">
      <w:pPr>
        <w:pStyle w:val="BodyText"/>
      </w:pPr>
      <w:r>
        <w:rPr>
          <w:b/>
          <w:bCs/>
        </w:rPr>
        <w:t>One line for the room:</w:t>
      </w:r>
      <w:r>
        <w:t xml:space="preserve"> </w:t>
      </w:r>
      <w:r>
        <w:rPr>
          <w:i/>
          <w:iCs/>
        </w:rPr>
        <w:t>“DIALOG brings in external structural where the developer or a design-lead architect procures it separately, on Alberta mega design-build hospitals as a co-SE, for specialist innovation, and where a studio lacks the specialty — and self-performs transit, bridges, mid-rise, civic, and most healthcare in-house.”</w:t>
      </w:r>
    </w:p>
    <w:p w14:paraId="7AC25828" w14:textId="77777777" w:rsidR="00726B79" w:rsidRDefault="00EE7DF4">
      <w:pPr>
        <w:pStyle w:val="Heading2"/>
      </w:pPr>
      <w:bookmarkStart w:id="2" w:name="Xcc50162a1971f8d33d16dd8704cb081d2301ffb"/>
      <w:bookmarkEnd w:id="1"/>
      <w:r>
        <w:t>Strategic read for July 10 — a relationship meeting, not a seat pitch</w:t>
      </w:r>
    </w:p>
    <w:p w14:paraId="0CBCEB46" w14:textId="77777777" w:rsidR="00726B79" w:rsidRDefault="00EE7DF4">
      <w:pPr>
        <w:pStyle w:val="FirstParagraph"/>
      </w:pPr>
      <w:r>
        <w:rPr>
          <w:b/>
          <w:bCs/>
        </w:rPr>
        <w:t>There is no verified open seat to pitch.</w:t>
      </w:r>
      <w:r>
        <w:t xml:space="preserve"> Triggers 1–2 are </w:t>
      </w:r>
      <w:r>
        <w:rPr>
          <w:b/>
          <w:bCs/>
        </w:rPr>
        <w:t>developer/design-lead decisions — not DIALOG’s to award</w:t>
      </w:r>
      <w:r>
        <w:t xml:space="preserve">; trigger 3 is rare (next AB mega-DB hospital is years out); trigger 5 belongs to other studios. What Georg Josi </w:t>
      </w:r>
      <w:r>
        <w:rPr>
          <w:i/>
          <w:iCs/>
        </w:rPr>
        <w:t>can</w:t>
      </w:r>
      <w:r>
        <w:t xml:space="preserve"> give KOR: </w:t>
      </w:r>
      <w:r>
        <w:rPr>
          <w:b/>
          <w:bCs/>
        </w:rPr>
        <w:t>(a)</w:t>
      </w:r>
      <w:r>
        <w:t xml:space="preserve"> a specialist/overflow relationship with Edmonton (their AB partner-level </w:t>
      </w:r>
      <w:r>
        <w:lastRenderedPageBreak/>
        <w:t xml:space="preserve">structural capacity genuinely is contracting), </w:t>
      </w:r>
      <w:r>
        <w:rPr>
          <w:b/>
          <w:bCs/>
        </w:rPr>
        <w:t>(b)</w:t>
      </w:r>
      <w:r>
        <w:t xml:space="preserve"> an intro path into the next AB mega design-build co-SE, </w:t>
      </w:r>
      <w:r>
        <w:rPr>
          <w:b/>
          <w:bCs/>
        </w:rPr>
        <w:t>(c)</w:t>
      </w:r>
      <w:r>
        <w:t xml:space="preserve"> a referral into the BC studio, </w:t>
      </w:r>
      <w:r>
        <w:rPr>
          <w:b/>
          <w:bCs/>
        </w:rPr>
        <w:t>(d)</w:t>
      </w:r>
      <w:r>
        <w:t xml:space="preserve"> the Misericordia watch. Walk in to become </w:t>
      </w:r>
      <w:r>
        <w:rPr>
          <w:i/>
          <w:iCs/>
        </w:rPr>
        <w:t>the firm they think of</w:t>
      </w:r>
      <w:r>
        <w:t xml:space="preserve"> — not to ask for a seat that isn’t on the table.</w:t>
      </w:r>
    </w:p>
    <w:p w14:paraId="469A8FE8" w14:textId="77777777" w:rsidR="00726B79" w:rsidRDefault="00EE7DF4">
      <w:pPr>
        <w:pStyle w:val="Compact"/>
        <w:numPr>
          <w:ilvl w:val="0"/>
          <w:numId w:val="3"/>
        </w:numPr>
      </w:pPr>
      <w:r>
        <w:rPr>
          <w:b/>
          <w:bCs/>
        </w:rPr>
        <w:t>UHNBC Acute Care Tower ($1.579B, Prince George)</w:t>
      </w:r>
      <w:r>
        <w:t xml:space="preserve"> </w:t>
      </w:r>
      <w:r>
        <w:t xml:space="preserve">[V facts, H opportunity]: DIALOG+EllisDon alliance (formed Dec 2025), design through late 2026, construction ~2027, opening ~2031. </w:t>
      </w:r>
      <w:r>
        <w:rPr>
          <w:b/>
          <w:bCs/>
        </w:rPr>
        <w:t>Structural is most likely inside DIALOG BC’s own scope</w:t>
      </w:r>
      <w:r>
        <w:t xml:space="preserve"> — the alliance named separate mechanical (PML) and electrical (Houle) participants precisely because DIALOG doesn’t self-perform those, and named </w:t>
      </w:r>
      <w:r>
        <w:rPr>
          <w:b/>
          <w:bCs/>
        </w:rPr>
        <w:t>no structural participant</w:t>
      </w:r>
      <w:r>
        <w:t xml:space="preserve">; their BC entity is legally “DIALOG BC Architecture </w:t>
      </w:r>
      <w:r>
        <w:rPr>
          <w:b/>
          <w:bCs/>
        </w:rPr>
        <w:t>Engineering</w:t>
      </w:r>
      <w:r>
        <w:t xml:space="preserve"> Interior Design Planning Inc.” </w:t>
      </w:r>
      <w:r>
        <w:t xml:space="preserve">(Contrast: on the Cowichan Hospital alliance, architect Parkin — no in-house SE — named Bush Bohlman as a structural participant.) </w:t>
      </w:r>
      <w:r>
        <w:rPr>
          <w:b/>
          <w:bCs/>
        </w:rPr>
        <w:t>Probe as capacity support, never claim the seat is open:</w:t>
      </w:r>
      <w:r>
        <w:t xml:space="preserve"> </w:t>
      </w:r>
      <w:r>
        <w:rPr>
          <w:i/>
          <w:iCs/>
        </w:rPr>
        <w:t>“Is your BC team self-performing structural on UHNBC, or would a BC healthcare-structural partner help carry it?”</w:t>
      </w:r>
      <w:r>
        <w:t xml:space="preserve"> Note: </w:t>
      </w:r>
      <w:r>
        <w:rPr>
          <w:b/>
          <w:bCs/>
        </w:rPr>
        <w:t>Prince George is low-seismicity</w:t>
      </w:r>
      <w:r>
        <w:t xml:space="preserve"> (PGA ≈0.07g — Edmonton-level, 6–9× below Vancouver) — do not pitch it as seismic-intensive; the post-disaster importance angle is what applies.</w:t>
      </w:r>
    </w:p>
    <w:p w14:paraId="328F88F4" w14:textId="77777777" w:rsidR="00726B79" w:rsidRDefault="00EE7DF4">
      <w:pPr>
        <w:pStyle w:val="Compact"/>
        <w:numPr>
          <w:ilvl w:val="0"/>
          <w:numId w:val="3"/>
        </w:numPr>
      </w:pPr>
      <w:r>
        <w:rPr>
          <w:b/>
          <w:bCs/>
        </w:rPr>
        <w:t>Misericordia inpatient tower</w:t>
      </w:r>
      <w:r>
        <w:t xml:space="preserve"> (~350 beds, architect seat open, planning-only funding) — long-lead AB teaming watch. </w:t>
      </w:r>
      <w:r>
        <w:rPr>
          <w:i/>
          <w:iCs/>
        </w:rPr>
        <w:t>(Event Park &amp; NAIT: likely self-performed or Thornton Tomasetti — probe, not pitch.)</w:t>
      </w:r>
    </w:p>
    <w:p w14:paraId="4785D208" w14:textId="77777777" w:rsidR="00726B79" w:rsidRDefault="00EE7DF4">
      <w:pPr>
        <w:pStyle w:val="Heading2"/>
      </w:pPr>
      <w:bookmarkStart w:id="3" w:name="dialog-structural-bench-who-owns-what-v"/>
      <w:bookmarkEnd w:id="2"/>
      <w:r>
        <w:t>DIALOG structural bench — who owns what [V]</w:t>
      </w:r>
    </w:p>
    <w:p w14:paraId="73D74B21" w14:textId="77777777" w:rsidR="00726B79" w:rsidRDefault="00EE7DF4">
      <w:pPr>
        <w:pStyle w:val="Compact"/>
        <w:numPr>
          <w:ilvl w:val="0"/>
          <w:numId w:val="4"/>
        </w:numPr>
      </w:pPr>
      <w:r>
        <w:rPr>
          <w:b/>
          <w:bCs/>
        </w:rPr>
        <w:t>Edmonton (largest studio, ~150 staff post-RPK):</w:t>
      </w:r>
      <w:r>
        <w:t xml:space="preserve"> Georg Josi (Studio Chair; healthcare — Kaye), </w:t>
      </w:r>
      <w:r>
        <w:rPr>
          <w:b/>
          <w:bCs/>
        </w:rPr>
        <w:t>Steven Oosterhof</w:t>
      </w:r>
      <w:r>
        <w:t xml:space="preserve"> (PhD/PE/SE — </w:t>
      </w:r>
      <w:r>
        <w:rPr>
          <w:b/>
          <w:bCs/>
        </w:rPr>
        <w:t>voting member of the NBCC Standing Committee on Earthquake Design</w:t>
      </w:r>
      <w:r>
        <w:t xml:space="preserve"> </w:t>
      </w:r>
      <w:r>
        <w:t xml:space="preserve">(chaired by Perry Adebar, UBC); venue/commercial), Neil Robson (bridges/transit), Steven Prozniak (bridges), Ryan Renihan/Larissa Ulcar/Victoria Buffam (assoc). Jim Montgomery → Partner Emeritus 2025; Sandra Renihan → transit PM. </w:t>
      </w:r>
      <w:r>
        <w:rPr>
          <w:b/>
          <w:bCs/>
        </w:rPr>
        <w:t>AB partner-level structural capacity is contracting.</w:t>
      </w:r>
    </w:p>
    <w:p w14:paraId="256A231B" w14:textId="77777777" w:rsidR="00726B79" w:rsidRDefault="00EE7DF4">
      <w:pPr>
        <w:pStyle w:val="Compact"/>
        <w:numPr>
          <w:ilvl w:val="0"/>
          <w:numId w:val="4"/>
        </w:numPr>
      </w:pPr>
      <w:r>
        <w:rPr>
          <w:b/>
          <w:bCs/>
        </w:rPr>
        <w:t>Calgary:</w:t>
      </w:r>
      <w:r>
        <w:t xml:space="preserve"> Ralph Hildenbrandt (</w:t>
      </w:r>
      <w:r>
        <w:rPr>
          <w:b/>
          <w:bCs/>
        </w:rPr>
        <w:t>healthcare lead</w:t>
      </w:r>
      <w:r>
        <w:t xml:space="preserve"> — GP Regional, Calgary Cancer, Dartmouth), Chris Lenzin (Studio Chair), Gerry Carson (precast/UHPC).</w:t>
      </w:r>
    </w:p>
    <w:p w14:paraId="73D18EDC" w14:textId="77777777" w:rsidR="00726B79" w:rsidRDefault="00EE7DF4">
      <w:pPr>
        <w:pStyle w:val="Compact"/>
        <w:numPr>
          <w:ilvl w:val="0"/>
          <w:numId w:val="4"/>
        </w:numPr>
      </w:pPr>
      <w:r>
        <w:rPr>
          <w:b/>
          <w:bCs/>
        </w:rPr>
        <w:t>Toronto:</w:t>
      </w:r>
      <w:r>
        <w:t xml:space="preserve"> </w:t>
      </w:r>
      <w:r>
        <w:t>Daria Khachi (healthcare + forensics/post-disaster), Cameron Ritchie (healthcare), Charles Marshall (Studio Chair).</w:t>
      </w:r>
    </w:p>
    <w:p w14:paraId="496275C6" w14:textId="77777777" w:rsidR="00726B79" w:rsidRDefault="00EE7DF4">
      <w:pPr>
        <w:pStyle w:val="Compact"/>
        <w:numPr>
          <w:ilvl w:val="0"/>
          <w:numId w:val="4"/>
        </w:numPr>
      </w:pPr>
      <w:r>
        <w:rPr>
          <w:b/>
          <w:bCs/>
        </w:rPr>
        <w:t>Vancouver:</w:t>
      </w:r>
      <w:r>
        <w:t xml:space="preserve"> Thomas Wu (towers — ex-JKK credits incl. Shangri-La/Pacific Rim), Mehrak Razavi, Fadi Ghorayeb — plus Broadway Subway/community work; </w:t>
      </w:r>
      <w:r>
        <w:rPr>
          <w:b/>
          <w:bCs/>
        </w:rPr>
        <w:t>no healthcare structural track record.</w:t>
      </w:r>
    </w:p>
    <w:p w14:paraId="614CFD7A" w14:textId="77777777" w:rsidR="00726B79" w:rsidRDefault="00EE7DF4">
      <w:pPr>
        <w:pStyle w:val="Heading2"/>
      </w:pPr>
      <w:bookmarkStart w:id="4" w:name="firm-context-for-the-relationship-v"/>
      <w:bookmarkEnd w:id="3"/>
      <w:r>
        <w:t>Firm context (for the relationship) [V]</w:t>
      </w:r>
    </w:p>
    <w:p w14:paraId="61A51546" w14:textId="77777777" w:rsidR="00726B79" w:rsidRDefault="00EE7DF4">
      <w:pPr>
        <w:pStyle w:val="FirstParagraph"/>
      </w:pPr>
      <w:r>
        <w:t xml:space="preserve">Partner-owned (50+ partners, flat governance, no single CEO), </w:t>
      </w:r>
      <w:r>
        <w:rPr>
          <w:b/>
          <w:bCs/>
        </w:rPr>
        <w:t>600+ staff, 6 studios</w:t>
      </w:r>
      <w:r>
        <w:t xml:space="preserve"> </w:t>
      </w:r>
      <w:r>
        <w:t xml:space="preserve">(Vancouver, Calgary, Edmonton, Toronto, Ottawa [2026], San Francisco), fully multidisciplinary. </w:t>
      </w:r>
      <w:r>
        <w:rPr>
          <w:b/>
          <w:bCs/>
        </w:rPr>
        <w:t>B Corp</w:t>
      </w:r>
      <w:r>
        <w:t xml:space="preserve">, AIA-2030 + </w:t>
      </w:r>
      <w:r>
        <w:rPr>
          <w:b/>
          <w:bCs/>
        </w:rPr>
        <w:t>SE 2050</w:t>
      </w:r>
      <w:r>
        <w:t xml:space="preserve"> carbon commitments, “Community Wellbeing Framework” (with the Conference Board of Canada) is core identity. Chair </w:t>
      </w:r>
      <w:r>
        <w:rPr>
          <w:b/>
          <w:bCs/>
        </w:rPr>
        <w:t>Antonio Gómez-Palacio</w:t>
      </w:r>
      <w:r>
        <w:t xml:space="preserve"> (since 2022). </w:t>
      </w:r>
      <w:r>
        <w:rPr>
          <w:i/>
          <w:iCs/>
        </w:rPr>
        <w:t>Fast Company</w:t>
      </w:r>
      <w:r>
        <w:t xml:space="preserve"> Most Innovative Architecture Firms 2026 (Peter Lougheed Wildlife Overpass). Deeply fluent in </w:t>
      </w:r>
      <w:r>
        <w:rPr>
          <w:b/>
          <w:bCs/>
        </w:rPr>
        <w:t>IPD / alliance / design-build</w:t>
      </w:r>
      <w:r>
        <w:t xml:space="preserve"> (UHNBC alliance, Calgary Cancer DB, Broadway Subway DBF).</w:t>
      </w:r>
    </w:p>
    <w:p w14:paraId="152E041C" w14:textId="77777777" w:rsidR="00726B79" w:rsidRDefault="00EE7DF4">
      <w:pPr>
        <w:pStyle w:val="Heading2"/>
      </w:pPr>
      <w:bookmarkStart w:id="5" w:name="how-kor-should-position"/>
      <w:bookmarkEnd w:id="4"/>
      <w:r>
        <w:t>How KOR should position</w:t>
      </w:r>
    </w:p>
    <w:p w14:paraId="21606C4F" w14:textId="77777777" w:rsidR="00726B79" w:rsidRDefault="00EE7DF4">
      <w:pPr>
        <w:pStyle w:val="Compact"/>
        <w:numPr>
          <w:ilvl w:val="0"/>
          <w:numId w:val="5"/>
        </w:numPr>
      </w:pPr>
      <w:r>
        <w:rPr>
          <w:b/>
          <w:bCs/>
        </w:rPr>
        <w:t>Language:</w:t>
      </w:r>
      <w:r>
        <w:t xml:space="preserve"> </w:t>
      </w:r>
      <w:r>
        <w:t xml:space="preserve">“integrated team,” “all disciplines at the table,” “co-creative from concept” — </w:t>
      </w:r>
      <w:r>
        <w:rPr>
          <w:b/>
          <w:bCs/>
        </w:rPr>
        <w:t>never “sub-consultant.”</w:t>
      </w:r>
      <w:r>
        <w:t xml:space="preserve"> Speak partner, not vendor.</w:t>
      </w:r>
    </w:p>
    <w:p w14:paraId="0B27C6C7" w14:textId="77777777" w:rsidR="00726B79" w:rsidRDefault="00EE7DF4">
      <w:pPr>
        <w:pStyle w:val="Compact"/>
        <w:numPr>
          <w:ilvl w:val="0"/>
          <w:numId w:val="5"/>
        </w:numPr>
      </w:pPr>
      <w:r>
        <w:rPr>
          <w:b/>
          <w:bCs/>
        </w:rPr>
        <w:t>Respect their code authority:</w:t>
      </w:r>
      <w:r>
        <w:t xml:space="preserve"> Oosterhof sits on the national seismic-code committee. </w:t>
      </w:r>
      <w:r>
        <w:rPr>
          <w:b/>
          <w:bCs/>
        </w:rPr>
        <w:t>Do not lecture them on NBC content.</w:t>
      </w:r>
      <w:r>
        <w:t xml:space="preserve"> KOR’s value is the </w:t>
      </w:r>
      <w:r>
        <w:rPr>
          <w:i/>
          <w:iCs/>
        </w:rPr>
        <w:t>delivered bench</w:t>
      </w:r>
      <w:r>
        <w:t xml:space="preserve">: decades of post-disaster/high-importance structural practice in Canada’s highest seismic-hazard zones, plus capacity — </w:t>
      </w:r>
      <w:r>
        <w:rPr>
          <w:i/>
          <w:iCs/>
        </w:rPr>
        <w:t>“you have the code table; we have the coastal-BC production depth behind it.”</w:t>
      </w:r>
    </w:p>
    <w:p w14:paraId="10017CFD" w14:textId="77777777" w:rsidR="00726B79" w:rsidRDefault="00EE7DF4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The seismic wedge (red-team-corrected wording, safe in front of SC-ED members):</w:t>
      </w:r>
      <w:r>
        <w:t xml:space="preserve"> </w:t>
      </w:r>
      <w:r>
        <w:rPr>
          <w:i/>
          <w:iCs/>
        </w:rPr>
        <w:t>“Since May 1 2024, Alberta designs to the NBC 2023 Alberta Edition, which for the first time brings Alberta post-disaster buildings under Article 4.1.8.23 — the NBC 2020 requirement that hospitals behave essentially elastically under a more frequent earthquake, with a tightened 0.5% interstorey drift limit and minimum Rd ≥ 2.0. The 1.5 importance factor isn’t new — that’s been there since the 1990s — but this performance check is new to Alberta, and it’s the kind of requirement coastal-BC practices have bee</w:t>
      </w:r>
      <w:r>
        <w:rPr>
          <w:i/>
          <w:iCs/>
        </w:rPr>
        <w:t>n designing around for years.”</w:t>
      </w:r>
    </w:p>
    <w:p w14:paraId="2424AE55" w14:textId="77777777" w:rsidR="00726B79" w:rsidRDefault="00EE7DF4">
      <w:pPr>
        <w:pStyle w:val="Compact"/>
        <w:numPr>
          <w:ilvl w:val="0"/>
          <w:numId w:val="5"/>
        </w:numPr>
      </w:pPr>
      <w:r>
        <w:rPr>
          <w:b/>
          <w:bCs/>
        </w:rPr>
        <w:t>Values hook:</w:t>
      </w:r>
      <w:r>
        <w:t xml:space="preserve"> frame seismic resilience as </w:t>
      </w:r>
      <w:r>
        <w:rPr>
          <w:b/>
          <w:bCs/>
        </w:rPr>
        <w:t>community wellbeing</w:t>
      </w:r>
      <w:r>
        <w:t xml:space="preserve">, and </w:t>
      </w:r>
      <w:r>
        <w:rPr>
          <w:b/>
          <w:bCs/>
        </w:rPr>
        <w:t>bring an embodied-carbon/LCA story</w:t>
      </w:r>
      <w:r>
        <w:t xml:space="preserve"> — a B-Corp, SE-2050 firm will expect it.</w:t>
      </w:r>
    </w:p>
    <w:p w14:paraId="2E40C41A" w14:textId="77777777" w:rsidR="00726B79" w:rsidRDefault="00EE7DF4">
      <w:pPr>
        <w:pStyle w:val="Compact"/>
        <w:numPr>
          <w:ilvl w:val="0"/>
          <w:numId w:val="5"/>
        </w:numPr>
      </w:pPr>
      <w:r>
        <w:rPr>
          <w:b/>
          <w:bCs/>
        </w:rPr>
        <w:t>The precedent to name:</w:t>
      </w:r>
      <w:r>
        <w:t xml:space="preserve"> </w:t>
      </w:r>
      <w:r>
        <w:rPr>
          <w:i/>
          <w:iCs/>
        </w:rPr>
        <w:t>“the Fast+Epp-on-The-Hive model — a specialist structural partner brought in co-creatively”</w:t>
      </w:r>
      <w:r>
        <w:t xml:space="preserve"> — for specialist/overflow scope, wherever it arises.</w:t>
      </w:r>
    </w:p>
    <w:p w14:paraId="05AFEF64" w14:textId="77777777" w:rsidR="00726B79" w:rsidRDefault="00EE7DF4">
      <w:pPr>
        <w:pStyle w:val="Heading2"/>
      </w:pPr>
      <w:bookmarkStart w:id="6" w:name="Xd6b3590db95f1f0ededed72df4a949721108dd5"/>
      <w:bookmarkEnd w:id="5"/>
      <w:r>
        <w:t>Competitors for DIALOG’s external structural work [V]</w:t>
      </w:r>
    </w:p>
    <w:p w14:paraId="497F8FEB" w14:textId="77777777" w:rsidR="00726B79" w:rsidRDefault="00EE7DF4">
      <w:pPr>
        <w:pStyle w:val="Compact"/>
        <w:numPr>
          <w:ilvl w:val="0"/>
          <w:numId w:val="6"/>
        </w:numPr>
      </w:pPr>
      <w:r>
        <w:rPr>
          <w:b/>
          <w:bCs/>
        </w:rPr>
        <w:t>RJC Engineers</w:t>
      </w:r>
      <w:r>
        <w:t xml:space="preserve"> </w:t>
      </w:r>
      <w:r>
        <w:t>— the heavyweight: towers-with-co-arch, education, museum renovation, YYC airport; AB healthcare (South Health Campus). The one to displace.</w:t>
      </w:r>
    </w:p>
    <w:p w14:paraId="3DC0F3E0" w14:textId="77777777" w:rsidR="00726B79" w:rsidRDefault="00EE7DF4">
      <w:pPr>
        <w:pStyle w:val="Compact"/>
        <w:numPr>
          <w:ilvl w:val="0"/>
          <w:numId w:val="6"/>
        </w:numPr>
      </w:pPr>
      <w:r>
        <w:rPr>
          <w:b/>
          <w:bCs/>
        </w:rPr>
        <w:t>Entuitive</w:t>
      </w:r>
      <w:r>
        <w:t xml:space="preserve"> — Edmonton office since 2016; Brookfield Place + Calgary Library. Institutional, </w:t>
      </w:r>
      <w:r>
        <w:rPr>
          <w:b/>
          <w:bCs/>
        </w:rPr>
        <w:t>no AB acute-care record</w:t>
      </w:r>
      <w:r>
        <w:t xml:space="preserve"> (don’t overstate).</w:t>
      </w:r>
    </w:p>
    <w:p w14:paraId="2E58B97C" w14:textId="77777777" w:rsidR="00726B79" w:rsidRDefault="00EE7DF4">
      <w:pPr>
        <w:pStyle w:val="Compact"/>
        <w:numPr>
          <w:ilvl w:val="0"/>
          <w:numId w:val="6"/>
        </w:numPr>
      </w:pPr>
      <w:r>
        <w:rPr>
          <w:b/>
          <w:bCs/>
        </w:rPr>
        <w:t>Glotman Simpson / BuroHappold</w:t>
      </w:r>
      <w:r>
        <w:t xml:space="preserve"> — Vancouver developer/starchitect towers. </w:t>
      </w:r>
      <w:r>
        <w:rPr>
          <w:b/>
          <w:bCs/>
        </w:rPr>
        <w:t>Fast+Epp</w:t>
      </w:r>
      <w:r>
        <w:t xml:space="preserve"> — mass timber (entrenched; don’t contest). </w:t>
      </w:r>
      <w:r>
        <w:rPr>
          <w:b/>
          <w:bCs/>
        </w:rPr>
        <w:t>Stantec / Jacobs</w:t>
      </w:r>
      <w:r>
        <w:t xml:space="preserve"> — the AB mega-hospital co-SE incumbents. </w:t>
      </w:r>
      <w:r>
        <w:rPr>
          <w:b/>
          <w:bCs/>
        </w:rPr>
        <w:t>Bush Bohlman</w:t>
      </w:r>
      <w:r>
        <w:t xml:space="preserve"> </w:t>
      </w:r>
      <w:r>
        <w:t>— took the structural-participant seat on the Cowichan Hospital alliance (the BC-health-alliance precedent).</w:t>
      </w:r>
    </w:p>
    <w:p w14:paraId="1CD08D1C" w14:textId="77777777" w:rsidR="00726B79" w:rsidRDefault="00EE7DF4">
      <w:pPr>
        <w:pStyle w:val="Heading2"/>
      </w:pPr>
      <w:bookmarkStart w:id="7" w:name="do-not-say-red-team-landmines"/>
      <w:bookmarkEnd w:id="6"/>
      <w:r>
        <w:t>Do NOT say (red-team landmines)</w:t>
      </w:r>
    </w:p>
    <w:p w14:paraId="07C23475" w14:textId="77777777" w:rsidR="00726B79" w:rsidRDefault="00EE7DF4">
      <w:pPr>
        <w:pStyle w:val="Compact"/>
        <w:numPr>
          <w:ilvl w:val="0"/>
          <w:numId w:val="7"/>
        </w:numPr>
      </w:pPr>
      <w:r>
        <w:rPr>
          <w:b/>
          <w:bCs/>
        </w:rPr>
        <w:t>Don’t cite Shangri-La as “DIALOG self-performing structural as prime architect”</w:t>
      </w:r>
      <w:r>
        <w:t xml:space="preserve"> — DIALOG was never the architect (James KM Cheng was); the structural is a </w:t>
      </w:r>
      <w:r>
        <w:rPr>
          <w:b/>
          <w:bCs/>
        </w:rPr>
        <w:t>Jones Kwong Kishi legacy credit</w:t>
      </w:r>
      <w:r>
        <w:t xml:space="preserve"> (merged Oct 2013, after completion). Their people know their own history. Only prime+in-house case: Enbridge Centre, 26st.</w:t>
      </w:r>
    </w:p>
    <w:p w14:paraId="40631258" w14:textId="77777777" w:rsidR="00726B79" w:rsidRDefault="00EE7DF4">
      <w:pPr>
        <w:pStyle w:val="Compact"/>
        <w:numPr>
          <w:ilvl w:val="0"/>
          <w:numId w:val="7"/>
        </w:numPr>
      </w:pPr>
      <w:r>
        <w:t xml:space="preserve">Don’t say “DIALOG outsources hospital structural” </w:t>
      </w:r>
      <w:r>
        <w:t>broadly — they self-perform at ~$680M (GP Regional) and ~$1B (UHN Toronto Western, CM delivery). The co-SE cases are AB PCL design-builds.</w:t>
      </w:r>
    </w:p>
    <w:p w14:paraId="33C38965" w14:textId="77777777" w:rsidR="00726B79" w:rsidRDefault="00EE7DF4">
      <w:pPr>
        <w:pStyle w:val="Compact"/>
        <w:numPr>
          <w:ilvl w:val="0"/>
          <w:numId w:val="7"/>
        </w:numPr>
      </w:pPr>
      <w:r>
        <w:rPr>
          <w:b/>
          <w:bCs/>
        </w:rPr>
        <w:t>Don’t pitch UHNBC as an open SE seat</w:t>
      </w:r>
      <w:r>
        <w:t xml:space="preserve"> — structural is most likely inside DIALOG BC’s own scope (no structural alliance participant named; “Engineering” is in their BC entity’s legal name). Frame as a capacity-support question. And don’t call Prince George seismic-intensive (PGA ≈ Edmonton’s).</w:t>
      </w:r>
    </w:p>
    <w:p w14:paraId="6F7AAFD8" w14:textId="77777777" w:rsidR="00726B79" w:rsidRDefault="00EE7DF4">
      <w:pPr>
        <w:pStyle w:val="Compact"/>
        <w:numPr>
          <w:ilvl w:val="0"/>
          <w:numId w:val="7"/>
        </w:numPr>
      </w:pPr>
      <w:r>
        <w:t xml:space="preserve">Don’t say Vancouver has “only one structural engineer” (≥3) or is </w:t>
      </w:r>
      <w:r>
        <w:t xml:space="preserve">“tall-building only” (Broadway Subway, housing) — the accurate gap is </w:t>
      </w:r>
      <w:r>
        <w:rPr>
          <w:b/>
          <w:bCs/>
        </w:rPr>
        <w:t>no healthcare structural track record</w:t>
      </w:r>
      <w:r>
        <w:t>.</w:t>
      </w:r>
    </w:p>
    <w:p w14:paraId="50B8EE99" w14:textId="77777777" w:rsidR="00726B79" w:rsidRDefault="00EE7DF4">
      <w:pPr>
        <w:pStyle w:val="Compact"/>
        <w:numPr>
          <w:ilvl w:val="0"/>
          <w:numId w:val="7"/>
        </w:numPr>
      </w:pPr>
      <w:r>
        <w:rPr>
          <w:b/>
          <w:bCs/>
        </w:rPr>
        <w:t>Don’t say Oosterhof “chairs” the seismic committee</w:t>
      </w:r>
      <w:r>
        <w:t xml:space="preserve"> — voting member of SC-ED (chair: Perry Adebar, UBC). Don’t call him DIALOG’s “only seismic specialist.”</w:t>
      </w:r>
    </w:p>
    <w:p w14:paraId="61A64A9B" w14:textId="77777777" w:rsidR="00726B79" w:rsidRDefault="00EE7DF4">
      <w:pPr>
        <w:pStyle w:val="Compact"/>
        <w:numPr>
          <w:ilvl w:val="0"/>
          <w:numId w:val="7"/>
        </w:numPr>
      </w:pPr>
      <w:r>
        <w:t>Don’t imply IE 1.5 is new (since ~1990), don’t cite a “1% drift limit” for the new check (</w:t>
      </w:r>
      <w:r>
        <w:rPr>
          <w:b/>
          <w:bCs/>
        </w:rPr>
        <w:t>0.5%</w:t>
      </w:r>
      <w:r>
        <w:t xml:space="preserve">, Art. 4.1.8.23), don’t call the rule Alberta-unique (national since NBC 2020; new </w:t>
      </w:r>
      <w:r>
        <w:rPr>
          <w:i/>
          <w:iCs/>
        </w:rPr>
        <w:t>to Alberta</w:t>
      </w:r>
      <w:r>
        <w:t xml:space="preserve"> </w:t>
      </w:r>
      <w:r>
        <w:t>May 1 2024), don’t attribute Foothills McCaig structural to Stantec (unverified), don’t say UHNBC construction starts “fall 2026” (~2027).</w:t>
      </w:r>
    </w:p>
    <w:p w14:paraId="43891325" w14:textId="77777777" w:rsidR="00726B79" w:rsidRDefault="00EE7DF4">
      <w:pPr>
        <w:pStyle w:val="Heading2"/>
      </w:pPr>
      <w:bookmarkStart w:id="8" w:name="questions-for-georg-josi-july-10"/>
      <w:bookmarkEnd w:id="7"/>
      <w:r>
        <w:t>Questions for Georg Josi (July 10)</w:t>
      </w:r>
    </w:p>
    <w:p w14:paraId="7CB04F6D" w14:textId="77777777" w:rsidR="00726B79" w:rsidRDefault="00EE7DF4">
      <w:pPr>
        <w:pStyle w:val="Compact"/>
        <w:numPr>
          <w:ilvl w:val="0"/>
          <w:numId w:val="8"/>
        </w:numPr>
      </w:pPr>
      <w:r>
        <w:t xml:space="preserve">“On </w:t>
      </w:r>
      <w:r>
        <w:rPr>
          <w:b/>
          <w:bCs/>
        </w:rPr>
        <w:t>UHNBC</w:t>
      </w:r>
      <w:r>
        <w:t xml:space="preserve"> — is your BC team self-performing structural, or is there room for a BC healthcare-structural partner to help carry a $1.6B tower?”</w:t>
      </w:r>
    </w:p>
    <w:p w14:paraId="12E3F266" w14:textId="77777777" w:rsidR="00726B79" w:rsidRDefault="00EE7DF4">
      <w:pPr>
        <w:pStyle w:val="Compact"/>
        <w:numPr>
          <w:ilvl w:val="0"/>
          <w:numId w:val="8"/>
        </w:numPr>
      </w:pPr>
      <w:r>
        <w:t>“When a hospital hits Kaye/Calgary-Cancer scale under design-build, how do you structure the co-SE — and who do you reach for?”</w:t>
      </w:r>
    </w:p>
    <w:p w14:paraId="4DD6F8D0" w14:textId="77777777" w:rsidR="00726B79" w:rsidRDefault="00EE7DF4">
      <w:pPr>
        <w:pStyle w:val="Compact"/>
        <w:numPr>
          <w:ilvl w:val="0"/>
          <w:numId w:val="8"/>
        </w:numPr>
      </w:pPr>
      <w:r>
        <w:lastRenderedPageBreak/>
        <w:t>“Your Vancouver studio’s structural strength is towers and transit — how are you covering healthcare structural in BC?”</w:t>
      </w:r>
    </w:p>
    <w:p w14:paraId="4B142186" w14:textId="77777777" w:rsidR="00726B79" w:rsidRDefault="00EE7DF4">
      <w:pPr>
        <w:pStyle w:val="Compact"/>
        <w:numPr>
          <w:ilvl w:val="0"/>
          <w:numId w:val="8"/>
        </w:numPr>
      </w:pPr>
      <w:r>
        <w:t>“With the RPK merger and two partners stepping back, where’s Edmonton’s structural bandwidth tightest over the next 24 months?”</w:t>
      </w:r>
    </w:p>
    <w:p w14:paraId="5E56E2FA" w14:textId="77777777" w:rsidR="00726B79" w:rsidRDefault="00EE7DF4">
      <w:pPr>
        <w:pStyle w:val="Heading2"/>
      </w:pPr>
      <w:bookmarkStart w:id="9" w:name="X3307e16a0659ff59c2f591c95fcda550004a6d3"/>
      <w:bookmarkEnd w:id="8"/>
      <w:r>
        <w:t>Prerequisites — close before July 10 (only KOR can)</w:t>
      </w:r>
    </w:p>
    <w:p w14:paraId="464E6DBB" w14:textId="77777777" w:rsidR="00726B79" w:rsidRDefault="00EE7DF4">
      <w:pPr>
        <w:pStyle w:val="Compact"/>
        <w:numPr>
          <w:ilvl w:val="0"/>
          <w:numId w:val="9"/>
        </w:numPr>
      </w:pPr>
      <w:r>
        <w:rPr>
          <w:b/>
          <w:bCs/>
        </w:rPr>
        <w:t>APEGA Permit to Practice</w:t>
      </w:r>
      <w:r>
        <w:t xml:space="preserve"> for any Alberta work (hard legal requirement; not needed for BC scope).</w:t>
      </w:r>
    </w:p>
    <w:p w14:paraId="49D481C4" w14:textId="77777777" w:rsidR="00726B79" w:rsidRDefault="00EE7DF4">
      <w:pPr>
        <w:pStyle w:val="Compact"/>
        <w:numPr>
          <w:ilvl w:val="0"/>
          <w:numId w:val="9"/>
        </w:numPr>
      </w:pPr>
      <w:r>
        <w:rPr>
          <w:b/>
          <w:bCs/>
        </w:rPr>
        <w:t>Nameable BC hospital / post-disaster references</w:t>
      </w:r>
      <w:r>
        <w:t xml:space="preserve"> — the wedge only lands with real projects cited.</w:t>
      </w:r>
    </w:p>
    <w:p w14:paraId="78830614" w14:textId="77777777" w:rsidR="00726B79" w:rsidRDefault="00EE7DF4">
      <w:pPr>
        <w:pStyle w:val="Compact"/>
        <w:numPr>
          <w:ilvl w:val="0"/>
          <w:numId w:val="9"/>
        </w:numPr>
      </w:pPr>
      <w:r>
        <w:rPr>
          <w:b/>
          <w:bCs/>
        </w:rPr>
        <w:t>An embodied-carbon / LCA story</w:t>
      </w:r>
      <w:r>
        <w:t xml:space="preserve"> — the positioning above promises one; have it ready.</w:t>
      </w:r>
    </w:p>
    <w:p w14:paraId="558D3137" w14:textId="77777777" w:rsidR="00726B79" w:rsidRDefault="00EE7DF4">
      <w:r>
        <w:pict w14:anchorId="0AFFD336">
          <v:rect id="_x0000_i1025" style="width:0;height:1.5pt" o:hralign="center" o:hrstd="t" o:hr="t"/>
        </w:pict>
      </w:r>
    </w:p>
    <w:p w14:paraId="24A5DFE0" w14:textId="77777777" w:rsidR="00726B79" w:rsidRDefault="00EE7DF4">
      <w:pPr>
        <w:pStyle w:val="Heading2"/>
      </w:pPr>
      <w:bookmarkStart w:id="10" w:name="X0c1e04b6a3fd8c41ba770d9c2acfa795c203bb0"/>
      <w:bookmarkEnd w:id="9"/>
      <w:r>
        <w:t>Appendix A — Healthcare/institutional structural (verified catalogue)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2610"/>
        <w:gridCol w:w="2610"/>
        <w:gridCol w:w="2610"/>
        <w:gridCol w:w="2610"/>
      </w:tblGrid>
      <w:tr w:rsidR="00726B79" w:rsidRPr="00667710" w14:paraId="4D5F8356" w14:textId="77777777" w:rsidTr="00667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50" w:type="pct"/>
          </w:tcPr>
          <w:p w14:paraId="0A8A6680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Project</w:t>
            </w:r>
          </w:p>
        </w:tc>
        <w:tc>
          <w:tcPr>
            <w:tcW w:w="1250" w:type="pct"/>
          </w:tcPr>
          <w:p w14:paraId="7A8AF2F8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~Value</w:t>
            </w:r>
          </w:p>
        </w:tc>
        <w:tc>
          <w:tcPr>
            <w:tcW w:w="1250" w:type="pct"/>
          </w:tcPr>
          <w:p w14:paraId="3F981652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Structural</w:t>
            </w:r>
          </w:p>
        </w:tc>
        <w:tc>
          <w:tcPr>
            <w:tcW w:w="1250" w:type="pct"/>
          </w:tcPr>
          <w:p w14:paraId="489D15F0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Verdict</w:t>
            </w:r>
          </w:p>
        </w:tc>
      </w:tr>
      <w:tr w:rsidR="00726B79" w:rsidRPr="00667710" w14:paraId="327E08E0" w14:textId="77777777" w:rsidTr="00667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643E4A57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Kaye Edmonton Clinic</w:t>
            </w:r>
          </w:p>
        </w:tc>
        <w:tc>
          <w:tcPr>
            <w:tcW w:w="1250" w:type="pct"/>
          </w:tcPr>
          <w:p w14:paraId="44B6CC1D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$900M</w:t>
            </w:r>
          </w:p>
        </w:tc>
        <w:tc>
          <w:tcPr>
            <w:tcW w:w="1250" w:type="pct"/>
          </w:tcPr>
          <w:p w14:paraId="33C14C94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DIALOG + Yolles (now Jacobs), equal partners</w:t>
            </w:r>
          </w:p>
        </w:tc>
        <w:tc>
          <w:tcPr>
            <w:tcW w:w="1250" w:type="pct"/>
          </w:tcPr>
          <w:p w14:paraId="19A38DA7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Co-SE — AB PCL DB [V]</w:t>
            </w:r>
          </w:p>
        </w:tc>
      </w:tr>
      <w:tr w:rsidR="00726B79" w:rsidRPr="00667710" w14:paraId="46830520" w14:textId="77777777" w:rsidTr="00667710">
        <w:trPr>
          <w:cantSplit/>
        </w:trPr>
        <w:tc>
          <w:tcPr>
            <w:tcW w:w="1250" w:type="pct"/>
          </w:tcPr>
          <w:p w14:paraId="28273E9C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Calgary Cancer Centre</w:t>
            </w:r>
          </w:p>
        </w:tc>
        <w:tc>
          <w:tcPr>
            <w:tcW w:w="1250" w:type="pct"/>
          </w:tcPr>
          <w:p w14:paraId="0499BA39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$1.4B</w:t>
            </w:r>
          </w:p>
        </w:tc>
        <w:tc>
          <w:tcPr>
            <w:tcW w:w="1250" w:type="pct"/>
          </w:tcPr>
          <w:p w14:paraId="1889BE21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DIALOG + Stantec co-SE (PCL DB)</w:t>
            </w:r>
          </w:p>
        </w:tc>
        <w:tc>
          <w:tcPr>
            <w:tcW w:w="1250" w:type="pct"/>
          </w:tcPr>
          <w:p w14:paraId="774FABE9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Co-SE — AB PCL DB [V]</w:t>
            </w:r>
          </w:p>
        </w:tc>
      </w:tr>
      <w:tr w:rsidR="00726B79" w:rsidRPr="00667710" w14:paraId="593AF7CB" w14:textId="77777777" w:rsidTr="00667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2B6883A7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Foothills McCaig Tower</w:t>
            </w:r>
          </w:p>
        </w:tc>
        <w:tc>
          <w:tcPr>
            <w:tcW w:w="1250" w:type="pct"/>
          </w:tcPr>
          <w:p w14:paraId="638F6E24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—</w:t>
            </w:r>
          </w:p>
        </w:tc>
        <w:tc>
          <w:tcPr>
            <w:tcW w:w="1250" w:type="pct"/>
          </w:tcPr>
          <w:p w14:paraId="10813811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DIALOG architecture-only; structural = separate firm</w:t>
            </w:r>
          </w:p>
        </w:tc>
        <w:tc>
          <w:tcPr>
            <w:tcW w:w="1250" w:type="pct"/>
          </w:tcPr>
          <w:p w14:paraId="4850A79C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External [V]</w:t>
            </w:r>
          </w:p>
        </w:tc>
      </w:tr>
      <w:tr w:rsidR="00726B79" w:rsidRPr="00667710" w14:paraId="7CF06873" w14:textId="77777777" w:rsidTr="00667710">
        <w:trPr>
          <w:cantSplit/>
        </w:trPr>
        <w:tc>
          <w:tcPr>
            <w:tcW w:w="1250" w:type="pct"/>
          </w:tcPr>
          <w:p w14:paraId="464104B5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UHNBC Acute Care Tower</w:t>
            </w:r>
          </w:p>
        </w:tc>
        <w:tc>
          <w:tcPr>
            <w:tcW w:w="1250" w:type="pct"/>
          </w:tcPr>
          <w:p w14:paraId="475E650D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$1.58B</w:t>
            </w:r>
          </w:p>
        </w:tc>
        <w:tc>
          <w:tcPr>
            <w:tcW w:w="1250" w:type="pct"/>
          </w:tcPr>
          <w:p w14:paraId="0B5780A3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 xml:space="preserve">Publicly unnamed — </w:t>
            </w:r>
            <w:r w:rsidRPr="00667710">
              <w:rPr>
                <w:b/>
                <w:bCs/>
                <w:sz w:val="17"/>
              </w:rPr>
              <w:t>most likely in-house (DIALOG BC)</w:t>
            </w:r>
            <w:r w:rsidRPr="00667710">
              <w:rPr>
                <w:sz w:val="17"/>
              </w:rPr>
              <w:t>; probe</w:t>
            </w:r>
          </w:p>
        </w:tc>
        <w:tc>
          <w:tcPr>
            <w:tcW w:w="1250" w:type="pct"/>
          </w:tcPr>
          <w:p w14:paraId="36EEA9AF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[H — capacity-support angle]</w:t>
            </w:r>
          </w:p>
        </w:tc>
      </w:tr>
      <w:tr w:rsidR="00726B79" w:rsidRPr="00667710" w14:paraId="28ABEC45" w14:textId="77777777" w:rsidTr="00667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2DE407BA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Grande Prairie Regional</w:t>
            </w:r>
          </w:p>
        </w:tc>
        <w:tc>
          <w:tcPr>
            <w:tcW w:w="1250" w:type="pct"/>
          </w:tcPr>
          <w:p w14:paraId="20093F77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~$680M</w:t>
            </w:r>
          </w:p>
        </w:tc>
        <w:tc>
          <w:tcPr>
            <w:tcW w:w="1250" w:type="pct"/>
          </w:tcPr>
          <w:p w14:paraId="1DD48A5B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In-house (Hildenbrandt, Lenzin)</w:t>
            </w:r>
          </w:p>
        </w:tc>
        <w:tc>
          <w:tcPr>
            <w:tcW w:w="1250" w:type="pct"/>
          </w:tcPr>
          <w:p w14:paraId="7DCC7B87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In-house [V]</w:t>
            </w:r>
          </w:p>
        </w:tc>
      </w:tr>
      <w:tr w:rsidR="00726B79" w:rsidRPr="00667710" w14:paraId="2A66D28B" w14:textId="77777777" w:rsidTr="00667710">
        <w:trPr>
          <w:cantSplit/>
        </w:trPr>
        <w:tc>
          <w:tcPr>
            <w:tcW w:w="1250" w:type="pct"/>
          </w:tcPr>
          <w:p w14:paraId="6693E137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UHN Toronto Western Tower</w:t>
            </w:r>
          </w:p>
        </w:tc>
        <w:tc>
          <w:tcPr>
            <w:tcW w:w="1250" w:type="pct"/>
          </w:tcPr>
          <w:p w14:paraId="5233E621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~$1B</w:t>
            </w:r>
          </w:p>
        </w:tc>
        <w:tc>
          <w:tcPr>
            <w:tcW w:w="1250" w:type="pct"/>
          </w:tcPr>
          <w:p w14:paraId="2C105017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 xml:space="preserve">In-house (Khachi, Ritchie) — </w:t>
            </w:r>
            <w:r w:rsidRPr="00667710">
              <w:rPr>
                <w:b/>
                <w:bCs/>
                <w:sz w:val="17"/>
              </w:rPr>
              <w:t>CM delivery; breaks any pure scale trigger</w:t>
            </w:r>
          </w:p>
        </w:tc>
        <w:tc>
          <w:tcPr>
            <w:tcW w:w="1250" w:type="pct"/>
          </w:tcPr>
          <w:p w14:paraId="08DD3C81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In-house [V]</w:t>
            </w:r>
          </w:p>
        </w:tc>
      </w:tr>
      <w:tr w:rsidR="00726B79" w:rsidRPr="00667710" w14:paraId="430A27CB" w14:textId="77777777" w:rsidTr="00667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45A7E262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Edson / Gene Zwozdesky / Markdale / Dartmouth</w:t>
            </w:r>
          </w:p>
        </w:tc>
        <w:tc>
          <w:tcPr>
            <w:tcW w:w="1250" w:type="pct"/>
          </w:tcPr>
          <w:p w14:paraId="54A492CE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—</w:t>
            </w:r>
          </w:p>
        </w:tc>
        <w:tc>
          <w:tcPr>
            <w:tcW w:w="1250" w:type="pct"/>
          </w:tcPr>
          <w:p w14:paraId="48A0D46F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In-house (Renihan / — / Khachi / Hildenbrandt cross-deployed)</w:t>
            </w:r>
          </w:p>
        </w:tc>
        <w:tc>
          <w:tcPr>
            <w:tcW w:w="1250" w:type="pct"/>
          </w:tcPr>
          <w:p w14:paraId="5D0279DE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In-house [V]</w:t>
            </w:r>
          </w:p>
        </w:tc>
      </w:tr>
    </w:tbl>
    <w:p w14:paraId="77A57108" w14:textId="77777777" w:rsidR="00726B79" w:rsidRDefault="00EE7DF4">
      <w:pPr>
        <w:pStyle w:val="Heading2"/>
      </w:pPr>
      <w:bookmarkStart w:id="11" w:name="X79fa02d13dd6e27971481df4f6565224426045f"/>
      <w:bookmarkEnd w:id="10"/>
      <w:r>
        <w:t>Appendix B — Non-healthcare external SE (verified sample)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2610"/>
        <w:gridCol w:w="2610"/>
        <w:gridCol w:w="2610"/>
        <w:gridCol w:w="2610"/>
      </w:tblGrid>
      <w:tr w:rsidR="00726B79" w:rsidRPr="00667710" w14:paraId="6E92A90D" w14:textId="77777777" w:rsidTr="00667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50" w:type="pct"/>
          </w:tcPr>
          <w:p w14:paraId="20EE3B64" w14:textId="77777777" w:rsidR="00726B79" w:rsidRPr="00667710" w:rsidRDefault="00EE7DF4">
            <w:pPr>
              <w:pStyle w:val="Compact"/>
              <w:rPr>
                <w:b w:val="0"/>
                <w:sz w:val="17"/>
              </w:rPr>
            </w:pPr>
            <w:r w:rsidRPr="00667710">
              <w:rPr>
                <w:b w:val="0"/>
                <w:sz w:val="17"/>
              </w:rPr>
              <w:t>Project</w:t>
            </w:r>
          </w:p>
        </w:tc>
        <w:tc>
          <w:tcPr>
            <w:tcW w:w="1250" w:type="pct"/>
          </w:tcPr>
          <w:p w14:paraId="6E692BFD" w14:textId="77777777" w:rsidR="00726B79" w:rsidRPr="00667710" w:rsidRDefault="00EE7DF4">
            <w:pPr>
              <w:pStyle w:val="Compact"/>
              <w:rPr>
                <w:b w:val="0"/>
                <w:sz w:val="17"/>
              </w:rPr>
            </w:pPr>
            <w:r w:rsidRPr="00667710">
              <w:rPr>
                <w:b w:val="0"/>
                <w:sz w:val="17"/>
              </w:rPr>
              <w:t>Sector</w:t>
            </w:r>
          </w:p>
        </w:tc>
        <w:tc>
          <w:tcPr>
            <w:tcW w:w="1250" w:type="pct"/>
          </w:tcPr>
          <w:p w14:paraId="53C97FBF" w14:textId="77777777" w:rsidR="00726B79" w:rsidRPr="00667710" w:rsidRDefault="00EE7DF4">
            <w:pPr>
              <w:pStyle w:val="Compact"/>
              <w:rPr>
                <w:b w:val="0"/>
                <w:sz w:val="17"/>
              </w:rPr>
            </w:pPr>
            <w:r w:rsidRPr="00667710">
              <w:rPr>
                <w:b w:val="0"/>
                <w:sz w:val="17"/>
              </w:rPr>
              <w:t>Structural</w:t>
            </w:r>
          </w:p>
        </w:tc>
        <w:tc>
          <w:tcPr>
            <w:tcW w:w="1250" w:type="pct"/>
          </w:tcPr>
          <w:p w14:paraId="74369F85" w14:textId="77777777" w:rsidR="00726B79" w:rsidRPr="00667710" w:rsidRDefault="00EE7DF4">
            <w:pPr>
              <w:pStyle w:val="Compact"/>
              <w:rPr>
                <w:b w:val="0"/>
                <w:sz w:val="17"/>
              </w:rPr>
            </w:pPr>
            <w:r w:rsidRPr="00667710">
              <w:rPr>
                <w:b w:val="0"/>
                <w:sz w:val="17"/>
              </w:rPr>
              <w:t>Trigger</w:t>
            </w:r>
          </w:p>
        </w:tc>
      </w:tr>
      <w:tr w:rsidR="00726B79" w:rsidRPr="00667710" w14:paraId="7E586FA5" w14:textId="77777777" w:rsidTr="00667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0B6C3BC1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Vancouver House (53st)</w:t>
            </w:r>
          </w:p>
        </w:tc>
        <w:tc>
          <w:tcPr>
            <w:tcW w:w="1250" w:type="pct"/>
          </w:tcPr>
          <w:p w14:paraId="523D2178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Tower</w:t>
            </w:r>
          </w:p>
        </w:tc>
        <w:tc>
          <w:tcPr>
            <w:tcW w:w="1250" w:type="pct"/>
          </w:tcPr>
          <w:p w14:paraId="0E39E7F1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Glotman Simpson + BuroHappold</w:t>
            </w:r>
          </w:p>
        </w:tc>
        <w:tc>
          <w:tcPr>
            <w:tcW w:w="1250" w:type="pct"/>
          </w:tcPr>
          <w:p w14:paraId="5E83B8E1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Developer-procured; BIG design lead</w:t>
            </w:r>
          </w:p>
        </w:tc>
      </w:tr>
      <w:tr w:rsidR="00726B79" w:rsidRPr="00667710" w14:paraId="04FDDEA6" w14:textId="77777777" w:rsidTr="00667710">
        <w:trPr>
          <w:cantSplit/>
        </w:trPr>
        <w:tc>
          <w:tcPr>
            <w:tcW w:w="1250" w:type="pct"/>
          </w:tcPr>
          <w:p w14:paraId="21BFF9F7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Brookfield Place Calgary (60st)</w:t>
            </w:r>
          </w:p>
        </w:tc>
        <w:tc>
          <w:tcPr>
            <w:tcW w:w="1250" w:type="pct"/>
          </w:tcPr>
          <w:p w14:paraId="5CE5374B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Office</w:t>
            </w:r>
          </w:p>
        </w:tc>
        <w:tc>
          <w:tcPr>
            <w:tcW w:w="1250" w:type="pct"/>
          </w:tcPr>
          <w:p w14:paraId="60872BC9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Entuitive</w:t>
            </w:r>
          </w:p>
        </w:tc>
        <w:tc>
          <w:tcPr>
            <w:tcW w:w="1250" w:type="pct"/>
          </w:tcPr>
          <w:p w14:paraId="3CA79B4E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Developer-procured; AFK design lead</w:t>
            </w:r>
          </w:p>
        </w:tc>
      </w:tr>
      <w:tr w:rsidR="00726B79" w:rsidRPr="00667710" w14:paraId="169A23D6" w14:textId="77777777" w:rsidTr="00667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1A533B95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The Parks (45+35st) / The Hendrix</w:t>
            </w:r>
          </w:p>
        </w:tc>
        <w:tc>
          <w:tcPr>
            <w:tcW w:w="1250" w:type="pct"/>
          </w:tcPr>
          <w:p w14:paraId="06217C3A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Tower</w:t>
            </w:r>
          </w:p>
        </w:tc>
        <w:tc>
          <w:tcPr>
            <w:tcW w:w="1250" w:type="pct"/>
          </w:tcPr>
          <w:p w14:paraId="4DA78048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RJC</w:t>
            </w:r>
          </w:p>
        </w:tc>
        <w:tc>
          <w:tcPr>
            <w:tcW w:w="1250" w:type="pct"/>
          </w:tcPr>
          <w:p w14:paraId="2DF12160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Developer-procured</w:t>
            </w:r>
          </w:p>
        </w:tc>
      </w:tr>
      <w:tr w:rsidR="00726B79" w:rsidRPr="00667710" w14:paraId="294376BE" w14:textId="77777777" w:rsidTr="00667710">
        <w:trPr>
          <w:cantSplit/>
        </w:trPr>
        <w:tc>
          <w:tcPr>
            <w:tcW w:w="1250" w:type="pct"/>
          </w:tcPr>
          <w:p w14:paraId="325D98EB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The Hive (mass timber)</w:t>
            </w:r>
          </w:p>
        </w:tc>
        <w:tc>
          <w:tcPr>
            <w:tcW w:w="1250" w:type="pct"/>
          </w:tcPr>
          <w:p w14:paraId="4BC0307C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Office</w:t>
            </w:r>
          </w:p>
        </w:tc>
        <w:tc>
          <w:tcPr>
            <w:tcW w:w="1250" w:type="pct"/>
          </w:tcPr>
          <w:p w14:paraId="2710D8F8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Fast+Epp</w:t>
            </w:r>
          </w:p>
        </w:tc>
        <w:tc>
          <w:tcPr>
            <w:tcW w:w="1250" w:type="pct"/>
          </w:tcPr>
          <w:p w14:paraId="4C60665A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Pioneer seismic timber</w:t>
            </w:r>
          </w:p>
        </w:tc>
      </w:tr>
      <w:tr w:rsidR="00726B79" w:rsidRPr="00667710" w14:paraId="65C4261A" w14:textId="77777777" w:rsidTr="00667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1C2F2E05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Calgary Central Library / TELUS Spark</w:t>
            </w:r>
          </w:p>
        </w:tc>
        <w:tc>
          <w:tcPr>
            <w:tcW w:w="1250" w:type="pct"/>
          </w:tcPr>
          <w:p w14:paraId="590524DF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Civic</w:t>
            </w:r>
          </w:p>
        </w:tc>
        <w:tc>
          <w:tcPr>
            <w:tcW w:w="1250" w:type="pct"/>
          </w:tcPr>
          <w:p w14:paraId="35645B8D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Entuitive / Stantec</w:t>
            </w:r>
          </w:p>
        </w:tc>
        <w:tc>
          <w:tcPr>
            <w:tcW w:w="1250" w:type="pct"/>
          </w:tcPr>
          <w:p w14:paraId="6618F036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Design-architect-led</w:t>
            </w:r>
          </w:p>
        </w:tc>
      </w:tr>
      <w:tr w:rsidR="00726B79" w:rsidRPr="00667710" w14:paraId="17D0CE44" w14:textId="77777777" w:rsidTr="00667710">
        <w:trPr>
          <w:cantSplit/>
        </w:trPr>
        <w:tc>
          <w:tcPr>
            <w:tcW w:w="1250" w:type="pct"/>
          </w:tcPr>
          <w:p w14:paraId="30F68F29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Nk’Mip Cultural Centre</w:t>
            </w:r>
          </w:p>
        </w:tc>
        <w:tc>
          <w:tcPr>
            <w:tcW w:w="1250" w:type="pct"/>
          </w:tcPr>
          <w:p w14:paraId="7DDED7F4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Cultural</w:t>
            </w:r>
          </w:p>
        </w:tc>
        <w:tc>
          <w:tcPr>
            <w:tcW w:w="1250" w:type="pct"/>
          </w:tcPr>
          <w:p w14:paraId="690FB774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Equilibrium</w:t>
            </w:r>
          </w:p>
        </w:tc>
        <w:tc>
          <w:tcPr>
            <w:tcW w:w="1250" w:type="pct"/>
          </w:tcPr>
          <w:p w14:paraId="1AFDDB3F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Rammed-earth specialty</w:t>
            </w:r>
          </w:p>
        </w:tc>
      </w:tr>
      <w:tr w:rsidR="00726B79" w:rsidRPr="00667710" w14:paraId="3AE82184" w14:textId="77777777" w:rsidTr="00667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4085BA08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lastRenderedPageBreak/>
              <w:t>Catalyst – 77 Wade</w:t>
            </w:r>
          </w:p>
        </w:tc>
        <w:tc>
          <w:tcPr>
            <w:tcW w:w="1250" w:type="pct"/>
          </w:tcPr>
          <w:p w14:paraId="653E88A4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Life sciences</w:t>
            </w:r>
          </w:p>
        </w:tc>
        <w:tc>
          <w:tcPr>
            <w:tcW w:w="1250" w:type="pct"/>
          </w:tcPr>
          <w:p w14:paraId="2B0CDD36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Blackwell</w:t>
            </w:r>
          </w:p>
        </w:tc>
        <w:tc>
          <w:tcPr>
            <w:tcW w:w="1250" w:type="pct"/>
          </w:tcPr>
          <w:p w14:paraId="278F2E18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Lab specialty</w:t>
            </w:r>
          </w:p>
        </w:tc>
      </w:tr>
      <w:tr w:rsidR="00726B79" w:rsidRPr="00667710" w14:paraId="1CFE5E14" w14:textId="77777777" w:rsidTr="00667710">
        <w:trPr>
          <w:cantSplit/>
        </w:trPr>
        <w:tc>
          <w:tcPr>
            <w:tcW w:w="1250" w:type="pct"/>
          </w:tcPr>
          <w:p w14:paraId="765A93C6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YYC Int’l Facilities</w:t>
            </w:r>
          </w:p>
        </w:tc>
        <w:tc>
          <w:tcPr>
            <w:tcW w:w="1250" w:type="pct"/>
          </w:tcPr>
          <w:p w14:paraId="0BE4166F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Aviation</w:t>
            </w:r>
          </w:p>
        </w:tc>
        <w:tc>
          <w:tcPr>
            <w:tcW w:w="1250" w:type="pct"/>
          </w:tcPr>
          <w:p w14:paraId="483D4B68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RJC</w:t>
            </w:r>
          </w:p>
        </w:tc>
        <w:tc>
          <w:tcPr>
            <w:tcW w:w="1250" w:type="pct"/>
          </w:tcPr>
          <w:p w14:paraId="7282BFA0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Architecture-only scope</w:t>
            </w:r>
          </w:p>
        </w:tc>
      </w:tr>
      <w:tr w:rsidR="00726B79" w:rsidRPr="00667710" w14:paraId="1F1C6014" w14:textId="77777777" w:rsidTr="00667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656BEFF8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Shangri-La Van/Tor (62/65st), Pacific Rim</w:t>
            </w:r>
          </w:p>
        </w:tc>
        <w:tc>
          <w:tcPr>
            <w:tcW w:w="1250" w:type="pct"/>
          </w:tcPr>
          <w:p w14:paraId="78E1DA9A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Tower</w:t>
            </w:r>
          </w:p>
        </w:tc>
        <w:tc>
          <w:tcPr>
            <w:tcW w:w="1250" w:type="pct"/>
          </w:tcPr>
          <w:p w14:paraId="0B8C3A2A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b/>
                <w:bCs/>
                <w:sz w:val="17"/>
              </w:rPr>
              <w:t>DIALOG (ex-JKK legacy) as consulting SE</w:t>
            </w:r>
            <w:r w:rsidRPr="00667710">
              <w:rPr>
                <w:sz w:val="17"/>
              </w:rPr>
              <w:t xml:space="preserve"> — architect was James KM Cheng</w:t>
            </w:r>
          </w:p>
        </w:tc>
        <w:tc>
          <w:tcPr>
            <w:tcW w:w="1250" w:type="pct"/>
          </w:tcPr>
          <w:p w14:paraId="1DA0063F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SE-only commission, pre-2013-merger</w:t>
            </w:r>
          </w:p>
        </w:tc>
      </w:tr>
      <w:tr w:rsidR="00726B79" w:rsidRPr="00667710" w14:paraId="506054FB" w14:textId="77777777" w:rsidTr="00667710">
        <w:trPr>
          <w:cantSplit/>
        </w:trPr>
        <w:tc>
          <w:tcPr>
            <w:tcW w:w="1250" w:type="pct"/>
          </w:tcPr>
          <w:p w14:paraId="1E9E93CB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Enbridge Centre (26st)</w:t>
            </w:r>
          </w:p>
        </w:tc>
        <w:tc>
          <w:tcPr>
            <w:tcW w:w="1250" w:type="pct"/>
          </w:tcPr>
          <w:p w14:paraId="449892E2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Office</w:t>
            </w:r>
          </w:p>
        </w:tc>
        <w:tc>
          <w:tcPr>
            <w:tcW w:w="1250" w:type="pct"/>
          </w:tcPr>
          <w:p w14:paraId="2C47D486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b/>
                <w:bCs/>
                <w:sz w:val="17"/>
              </w:rPr>
              <w:t>In-house (Oosterhof)</w:t>
            </w:r>
          </w:p>
        </w:tc>
        <w:tc>
          <w:tcPr>
            <w:tcW w:w="1250" w:type="pct"/>
          </w:tcPr>
          <w:p w14:paraId="5AB0EC26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Only DIALOG-prime + in-house case</w:t>
            </w:r>
          </w:p>
        </w:tc>
      </w:tr>
      <w:tr w:rsidR="00726B79" w:rsidRPr="00667710" w14:paraId="695BFA1A" w14:textId="77777777" w:rsidTr="00667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1AA8FF99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Royal Alberta Museum / Winspear / Walterdale / Valley Line / Broadway Subway</w:t>
            </w:r>
          </w:p>
        </w:tc>
        <w:tc>
          <w:tcPr>
            <w:tcW w:w="1250" w:type="pct"/>
          </w:tcPr>
          <w:p w14:paraId="60623EF6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Civic/Transit</w:t>
            </w:r>
          </w:p>
        </w:tc>
        <w:tc>
          <w:tcPr>
            <w:tcW w:w="1250" w:type="pct"/>
          </w:tcPr>
          <w:p w14:paraId="34164DEB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b/>
                <w:bCs/>
                <w:sz w:val="17"/>
              </w:rPr>
              <w:t>In-house</w:t>
            </w:r>
          </w:p>
        </w:tc>
        <w:tc>
          <w:tcPr>
            <w:tcW w:w="1250" w:type="pct"/>
          </w:tcPr>
          <w:p w14:paraId="56B7EF16" w14:textId="77777777" w:rsidR="00726B79" w:rsidRPr="00667710" w:rsidRDefault="00EE7DF4">
            <w:pPr>
              <w:pStyle w:val="Compact"/>
              <w:rPr>
                <w:sz w:val="17"/>
              </w:rPr>
            </w:pPr>
            <w:r w:rsidRPr="00667710">
              <w:rPr>
                <w:sz w:val="17"/>
              </w:rPr>
              <w:t>Core domains — self-perform</w:t>
            </w:r>
          </w:p>
        </w:tc>
      </w:tr>
    </w:tbl>
    <w:p w14:paraId="0896B2DB" w14:textId="77777777" w:rsidR="00726B79" w:rsidRDefault="00EE7DF4">
      <w:r>
        <w:pict w14:anchorId="135674DE">
          <v:rect id="_x0000_i1026" style="width:0;height:1.5pt" o:hralign="center" o:hrstd="t" o:hr="t"/>
        </w:pict>
      </w:r>
    </w:p>
    <w:p w14:paraId="18583542" w14:textId="77777777" w:rsidR="00726B79" w:rsidRDefault="00EE7DF4">
      <w:pPr>
        <w:pStyle w:val="FirstParagraph"/>
      </w:pPr>
      <w:r>
        <w:rPr>
          <w:i/>
          <w:iCs/>
        </w:rPr>
        <w:t>Verification: 5 research passes + 6 adversarial fact-checks + an independent red-team (3 further primary-source verifications), 2026-06-30/07-01. Red-team corrections: Shangri-La role attribution (JKK legacy, not DIALOG-prime), UHNBC seat status (most likely in-house), $800M trigger narrowed to AB PCL design-builds (UHN Toronto Western counterexample), Prince George seismicity (low), Art. 4.1.8.23 precision (0.5% drift, new-to-Alberta), Oosterhof committee role (member, not chair). Sources: dialogdesign.ca,</w:t>
      </w:r>
      <w:r>
        <w:rPr>
          <w:i/>
          <w:iCs/>
        </w:rPr>
        <w:t xml:space="preserve"> newswire.ca (JKK merger), majorprojects.alberta.ca, infrastructurebc.com, northernhealth.ca, alberta.ca (Part 4 redline), nrcan.gc.ca (seismic hazard), apega.ca, canadianconsultingengineer.com, rjc.ca, fastepp.com, entuitive.com, thorntontomasetti.com. [H] items are to test in the room, not assert.</w:t>
      </w:r>
      <w:bookmarkEnd w:id="0"/>
      <w:bookmarkEnd w:id="11"/>
    </w:p>
    <w:sectPr w:rsidR="00726B79" w:rsidSect="00667710">
      <w:footnotePr>
        <w:numRestart w:val="eachSect"/>
      </w:footnotePr>
      <w:pgSz w:w="12240" w:h="15840"/>
      <w:pgMar w:top="860" w:right="1000" w:bottom="860" w:left="1000" w:header="720" w:footer="720" w:gutter="0"/>
      <w:cols w:space="720"/>
      <w:docGrid w:linePitch="2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242C1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D6A44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B343B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08913902">
    <w:abstractNumId w:val="0"/>
  </w:num>
  <w:num w:numId="2" w16cid:durableId="20522659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04595675">
    <w:abstractNumId w:val="1"/>
  </w:num>
  <w:num w:numId="4" w16cid:durableId="531381284">
    <w:abstractNumId w:val="1"/>
  </w:num>
  <w:num w:numId="5" w16cid:durableId="2023238042">
    <w:abstractNumId w:val="1"/>
  </w:num>
  <w:num w:numId="6" w16cid:durableId="2005472588">
    <w:abstractNumId w:val="1"/>
  </w:num>
  <w:num w:numId="7" w16cid:durableId="2597213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54190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948094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6B79"/>
    <w:rsid w:val="005F7C41"/>
    <w:rsid w:val="00667710"/>
    <w:rsid w:val="00726B79"/>
    <w:rsid w:val="00EE7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3FCB0"/>
  <w15:docId w15:val="{186D5359-2E21-477A-A00C-E6E693A68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40"/>
    </w:pPr>
    <w:rPr>
      <w:rFonts w:ascii="Calibri" w:hAnsi="Calibri" w:cs="Calibri"/>
      <w:sz w:val="18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00" w:after="20"/>
      <w:outlineLvl w:val="0"/>
    </w:pPr>
    <w:rPr>
      <w:rFonts w:eastAsiaTheme="majorEastAsia"/>
      <w:b/>
      <w:color w:val="1F3B5F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eastAsiaTheme="majorEastAsia"/>
      <w:b/>
      <w:color w:val="44546A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before="100" w:after="20"/>
      <w:contextualSpacing/>
      <w:jc w:val="center"/>
    </w:pPr>
    <w:rPr>
      <w:rFonts w:eastAsiaTheme="majorEastAsia"/>
      <w:b/>
      <w:color w:val="1F3B5F"/>
      <w:sz w:val="2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eastAsiaTheme="majorEastAsia" w:hAnsi="Calibri" w:cs="Calibri"/>
      <w:b/>
      <w:color w:val="1F3B5F"/>
      <w:sz w:val="2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eastAsiaTheme="majorEastAsia" w:hAnsi="Calibri" w:cs="Calibri"/>
      <w:b/>
      <w:color w:val="1F3B5F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eastAsiaTheme="majorEastAsia" w:hAnsi="Calibri" w:cs="Calibr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eastAsiaTheme="majorEastAsia" w:hAnsi="Calibri" w:cs="Calibri"/>
      <w:b/>
      <w:color w:val="44546A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dTable4">
    <w:name w:val="Grid Table 4"/>
    <w:basedOn w:val="TableNormal"/>
    <w:uiPriority w:val="49"/>
    <w:rsid w:val="00667710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2067</Words>
  <Characters>11786</Characters>
  <Application>Microsoft Office Word</Application>
  <DocSecurity>0</DocSecurity>
  <Lines>98</Lines>
  <Paragraphs>27</Paragraphs>
  <ScaleCrop>false</ScaleCrop>
  <Company/>
  <LinksUpToDate>false</LinksUpToDate>
  <CharactersWithSpaces>13826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Ian Lalonde</cp:lastModifiedBy>
  <cp:revision>2</cp:revision>
  <dcterms:created xsi:type="dcterms:W3CDTF">2026-07-01T20:11:00Z</dcterms:created>
  <dcterms:modified xsi:type="dcterms:W3CDTF">2026-07-01T20:11:00Z</dcterms:modified>
</cp:coreProperties>
</file>