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2CE3" w14:textId="77777777" w:rsidR="00E67E4B" w:rsidRDefault="00650B57">
      <w:pPr>
        <w:pStyle w:val="Heading1"/>
      </w:pPr>
      <w:bookmarkStart w:id="0" w:name="Xf61d82d7c6f74ea89740aff0ba5494f456cf4e5"/>
      <w:r>
        <w:t>KOR Structural — West Coast Executive Brief &amp; San Diego Trip Playbook</w:t>
      </w:r>
    </w:p>
    <w:p w14:paraId="3F79FFC5" w14:textId="77777777" w:rsidR="00E67E4B" w:rsidRDefault="00650B57">
      <w:pPr>
        <w:pStyle w:val="FirstParagraph"/>
      </w:pPr>
      <w:r>
        <w:rPr>
          <w:b/>
          <w:bCs/>
        </w:rPr>
        <w:t>For:</w:t>
      </w:r>
      <w:r>
        <w:t xml:space="preserve"> Jim DesRoches, Principal · </w:t>
      </w:r>
      <w:r>
        <w:rPr>
          <w:b/>
          <w:bCs/>
        </w:rPr>
        <w:t>Trip:</w:t>
      </w:r>
      <w:r>
        <w:t xml:space="preserve"> San Diego, June 29 – July 1, 2026 · </w:t>
      </w:r>
      <w:r>
        <w:rPr>
          <w:b/>
          <w:bCs/>
        </w:rPr>
        <w:t>Compiled:</w:t>
      </w:r>
      <w:r>
        <w:t xml:space="preserve"> 2026-06-26 · </w:t>
      </w:r>
      <w:r>
        <w:rPr>
          <w:b/>
          <w:bCs/>
        </w:rPr>
        <w:t>INTERNAL</w:t>
      </w:r>
    </w:p>
    <w:p w14:paraId="4655F36B" w14:textId="77777777" w:rsidR="00E67E4B" w:rsidRDefault="00650B57">
      <w:pPr>
        <w:pStyle w:val="BodyText"/>
      </w:pPr>
      <w:r>
        <w:rPr>
          <w:i/>
          <w:iCs/>
        </w:rPr>
        <w:t>This is the cover for an 8-dossier packet: two market strategy dossiers (San Diego, Los Angeles) and six firm dossiers (H+W Engineering, Pinnacle International, Bosa Development, Kennedy Wilson, Greystar, Trammell Crow). Read this first; it tells you what matters and in what order.</w:t>
      </w:r>
    </w:p>
    <w:p w14:paraId="6A683B51" w14:textId="77777777" w:rsidR="00E67E4B" w:rsidRDefault="00650B57">
      <w:r>
        <w:pict w14:anchorId="16F33527">
          <v:rect id="_x0000_i1025" style="width:0;height:1.5pt" o:hralign="center" o:hrstd="t" o:hr="t"/>
        </w:pict>
      </w:r>
    </w:p>
    <w:p w14:paraId="3BB87E66" w14:textId="77777777" w:rsidR="00E67E4B" w:rsidRDefault="00650B57" w:rsidP="00B57B28">
      <w:pPr>
        <w:pStyle w:val="Heading2"/>
        <w:pageBreakBefore/>
      </w:pPr>
      <w:bookmarkStart w:id="1" w:name="the-one-page-thesis"/>
      <w:r>
        <w:t>The one-page thesis</w:t>
      </w:r>
    </w:p>
    <w:p w14:paraId="2FD5DF14" w14:textId="77777777" w:rsidR="00E67E4B" w:rsidRDefault="00650B57">
      <w:pPr>
        <w:pStyle w:val="FirstParagraph"/>
      </w:pPr>
      <w:r>
        <w:t xml:space="preserve">KOR’s West Coast opportunity is </w:t>
      </w:r>
      <w:r>
        <w:rPr>
          <w:b/>
          <w:bCs/>
        </w:rPr>
        <w:t>not a cold expansion — it is a relationship-conversion play</w:t>
      </w:r>
      <w:r>
        <w:t>, and it runs on a single structural truth that repeats across both markets:</w:t>
      </w:r>
    </w:p>
    <w:p w14:paraId="3ADBDBCE" w14:textId="77777777" w:rsidR="00E67E4B" w:rsidRDefault="00650B57" w:rsidP="00B57B28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rPr>
          <w:b/>
          <w:bCs/>
        </w:rPr>
        <w:t xml:space="preserve">Vancouver developers import their Vancouver structural engineer into California — and that engineer (Glotman Simpson) has an LA office but </w:t>
      </w:r>
      <w:r>
        <w:rPr>
          <w:b/>
          <w:bCs/>
          <w:i/>
          <w:iCs/>
        </w:rPr>
        <w:t>no San Diego office</w:t>
      </w:r>
      <w:r>
        <w:rPr>
          <w:b/>
          <w:bCs/>
        </w:rPr>
        <w:t>. KOR can be in San Diego. That gap is the wedge.</w:t>
      </w:r>
    </w:p>
    <w:p w14:paraId="1F8C4A00" w14:textId="77777777" w:rsidR="00E67E4B" w:rsidRDefault="00650B57">
      <w:pPr>
        <w:pStyle w:val="FirstParagraph"/>
      </w:pPr>
      <w:r>
        <w:t xml:space="preserve">Everything in the packet resolves into </w:t>
      </w:r>
      <w:r>
        <w:rPr>
          <w:b/>
          <w:bCs/>
        </w:rPr>
        <w:t>two motions</w:t>
      </w:r>
      <w:r>
        <w:t>:</w:t>
      </w:r>
    </w:p>
    <w:p w14:paraId="63FFA582" w14:textId="77777777" w:rsidR="00E67E4B" w:rsidRDefault="00650B57">
      <w:pPr>
        <w:pStyle w:val="Compact"/>
        <w:numPr>
          <w:ilvl w:val="0"/>
          <w:numId w:val="2"/>
        </w:numPr>
      </w:pPr>
      <w:r>
        <w:rPr>
          <w:b/>
          <w:bCs/>
        </w:rPr>
        <w:t>ELEVATE what KOR already holds — the JWDA channel, anchored by a verified Greystar incumbency.</w:t>
      </w:r>
      <w:r>
        <w:t xml:space="preserve"> KOR is the structural engineer on </w:t>
      </w:r>
      <w:r>
        <w:rPr>
          <w:b/>
          <w:bCs/>
        </w:rPr>
        <w:t>multiple JWDA-designed San Diego towers across four developers</w:t>
      </w:r>
      <w:r>
        <w:t xml:space="preserve"> — and the engine is the </w:t>
      </w:r>
      <w:r>
        <w:rPr>
          <w:i/>
          <w:iCs/>
        </w:rPr>
        <w:t>architect</w:t>
      </w:r>
      <w:r>
        <w:t xml:space="preserve">: </w:t>
      </w:r>
      <w:r>
        <w:rPr>
          <w:b/>
          <w:bCs/>
        </w:rPr>
        <w:t>JWDA keeps picking KOR when it has discretion</w:t>
      </w:r>
      <w:r>
        <w:t xml:space="preserve">, carrying KOR from developer to developer. Two pieces of this are rock-solid: (a) the </w:t>
      </w:r>
      <w:r>
        <w:rPr>
          <w:b/>
          <w:bCs/>
        </w:rPr>
        <w:t>Greystar incumbency</w:t>
      </w:r>
      <w:r>
        <w:t xml:space="preserve"> — KOR is SE on </w:t>
      </w:r>
      <w:r>
        <w:rPr>
          <w:b/>
          <w:bCs/>
        </w:rPr>
        <w:t>525 Olive</w:t>
      </w:r>
      <w:r>
        <w:t xml:space="preserve"> (completed 2022) and </w:t>
      </w:r>
      <w:r>
        <w:rPr>
          <w:b/>
          <w:bCs/>
        </w:rPr>
        <w:t>6th &amp; Palm</w:t>
      </w:r>
      <w:r>
        <w:t xml:space="preserve"> (under construction to 2028), both Greystar developments invoiced via a Deltek client entity; and (b) </w:t>
      </w:r>
      <w:r>
        <w:rPr>
          <w:b/>
          <w:bCs/>
        </w:rPr>
        <w:t>The Lindley</w:t>
      </w:r>
      <w:r>
        <w:t xml:space="preserve"> (37-story) — but note its developer was </w:t>
      </w:r>
      <w:r>
        <w:rPr>
          <w:b/>
          <w:bCs/>
        </w:rPr>
        <w:t xml:space="preserve">Toll Brothers + </w:t>
      </w:r>
      <w:r>
        <w:rPr>
          <w:b/>
          <w:bCs/>
        </w:rPr>
        <w:t>PGIM</w:t>
      </w:r>
      <w:r>
        <w:t xml:space="preserve">, </w:t>
      </w:r>
      <w:r>
        <w:rPr>
          <w:i/>
          <w:iCs/>
        </w:rPr>
        <w:t>not</w:t>
      </w:r>
      <w:r>
        <w:t xml:space="preserve"> Kennedy Wilson (KW is a later owner/manager). Convert the JWDA relationship into firm-level preferred-engineer status, and elevate Greystar to preferred-vendor + a Vancouver door.</w:t>
      </w:r>
    </w:p>
    <w:p w14:paraId="617D5F51" w14:textId="77777777" w:rsidR="00E67E4B" w:rsidRDefault="00650B57">
      <w:pPr>
        <w:pStyle w:val="Compact"/>
        <w:numPr>
          <w:ilvl w:val="0"/>
          <w:numId w:val="2"/>
        </w:numPr>
      </w:pPr>
      <w:r>
        <w:rPr>
          <w:b/>
          <w:bCs/>
        </w:rPr>
        <w:t>DISPLACE the out-of-town incumbent where it has no local feet — Glotman Simpson.</w:t>
      </w:r>
      <w:r>
        <w:t xml:space="preserve"> </w:t>
      </w:r>
      <w:r>
        <w:rPr>
          <w:b/>
          <w:bCs/>
        </w:rPr>
        <w:t>Pinnacle</w:t>
      </w:r>
      <w:r>
        <w:t xml:space="preserve"> and </w:t>
      </w:r>
      <w:r>
        <w:rPr>
          <w:b/>
          <w:bCs/>
        </w:rPr>
        <w:t>Bosa</w:t>
      </w:r>
      <w:r>
        <w:t xml:space="preserve"> import </w:t>
      </w:r>
      <w:r>
        <w:rPr>
          <w:b/>
          <w:bCs/>
        </w:rPr>
        <w:t>Glotman Simpson</w:t>
      </w:r>
      <w:r>
        <w:t xml:space="preserve">, which has an </w:t>
      </w:r>
      <w:r>
        <w:rPr>
          <w:b/>
          <w:bCs/>
        </w:rPr>
        <w:t>LA office but no San Diego office</w:t>
      </w:r>
      <w:r>
        <w:t xml:space="preserve"> and has served ~50 SD high-rises from Vancouver/LA. </w:t>
      </w:r>
      <w:r>
        <w:rPr>
          <w:i/>
          <w:iCs/>
        </w:rPr>
        <w:t>That</w:t>
      </w:r>
      <w:r>
        <w:t xml:space="preserve"> is the clean no-local-office wedge. Note the nuance the research corrected: </w:t>
      </w:r>
      <w:r>
        <w:rPr>
          <w:b/>
          <w:bCs/>
        </w:rPr>
        <w:t>KPFF and DCI both have established San Diego offices</w:t>
      </w:r>
      <w:r>
        <w:t xml:space="preserve"> (KPFF since 1994, DCI since 2001), so they are </w:t>
      </w:r>
      <w:r>
        <w:rPr>
          <w:i/>
          <w:iCs/>
        </w:rPr>
        <w:t>not</w:t>
      </w:r>
      <w:r>
        <w:t xml:space="preserve"> “no-office” targets — displacing them is a principal-attention / under-served-mid-tier argument, not a presence argument.</w:t>
      </w:r>
    </w:p>
    <w:p w14:paraId="21BE8044" w14:textId="77777777" w:rsidR="00E67E4B" w:rsidRDefault="00650B57">
      <w:pPr>
        <w:pStyle w:val="FirstParagraph"/>
      </w:pPr>
      <w:r>
        <w:lastRenderedPageBreak/>
        <w:t xml:space="preserve">San Diego is </w:t>
      </w:r>
      <w:r>
        <w:rPr>
          <w:b/>
          <w:bCs/>
        </w:rPr>
        <w:t>near-term revenue</w:t>
      </w:r>
      <w:r>
        <w:t xml:space="preserve">; Los Angeles is a </w:t>
      </w:r>
      <w:r>
        <w:rPr>
          <w:b/>
          <w:bCs/>
        </w:rPr>
        <w:t>patient 2027+ build</w:t>
      </w:r>
      <w:r>
        <w:t xml:space="preserve"> (owner-direct seismic retrofit + the same Vancouver-relationship lever, via Onni).</w:t>
      </w:r>
    </w:p>
    <w:p w14:paraId="244B8261" w14:textId="77777777" w:rsidR="00E67E4B" w:rsidRDefault="00650B57">
      <w:r>
        <w:pict w14:anchorId="0B4AD6BA">
          <v:rect id="_x0000_i1026" style="width:0;height:1.5pt" o:hralign="center" o:hrstd="t" o:hr="t"/>
        </w:pict>
      </w:r>
    </w:p>
    <w:p w14:paraId="7FD57643" w14:textId="77777777" w:rsidR="00E67E4B" w:rsidRDefault="00650B57" w:rsidP="00B57B28">
      <w:pPr>
        <w:pStyle w:val="Heading2"/>
        <w:pageBreakBefore/>
      </w:pPr>
      <w:bookmarkStart w:id="2" w:name="market-verdicts"/>
      <w:bookmarkEnd w:id="1"/>
      <w:r>
        <w:t>Market verdicts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188"/>
        <w:gridCol w:w="3187"/>
        <w:gridCol w:w="3185"/>
      </w:tblGrid>
      <w:tr w:rsidR="00E67E4B" w:rsidRPr="00B57B28" w14:paraId="12F8CEE4" w14:textId="77777777" w:rsidTr="00B57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3B26DCEE" w14:textId="77777777" w:rsidR="00E67E4B" w:rsidRPr="00B57B28" w:rsidRDefault="00E67E4B">
            <w:pPr>
              <w:pStyle w:val="Compact"/>
              <w:rPr>
                <w:sz w:val="19"/>
              </w:rPr>
            </w:pPr>
          </w:p>
        </w:tc>
        <w:tc>
          <w:tcPr>
            <w:tcW w:w="1667" w:type="pct"/>
          </w:tcPr>
          <w:p w14:paraId="5CF66236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>San Diego</w:t>
            </w:r>
          </w:p>
        </w:tc>
        <w:tc>
          <w:tcPr>
            <w:tcW w:w="1667" w:type="pct"/>
          </w:tcPr>
          <w:p w14:paraId="7322A3F4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>Los Angeles</w:t>
            </w:r>
          </w:p>
        </w:tc>
      </w:tr>
      <w:tr w:rsidR="00E67E4B" w:rsidRPr="00B57B28" w14:paraId="4F32C2EE" w14:textId="77777777" w:rsidTr="00B57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6E25AF0E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b/>
                <w:bCs/>
                <w:sz w:val="19"/>
              </w:rPr>
              <w:t>Posture</w:t>
            </w:r>
          </w:p>
        </w:tc>
        <w:tc>
          <w:tcPr>
            <w:tcW w:w="1667" w:type="pct"/>
          </w:tcPr>
          <w:p w14:paraId="36B9AF10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>Near-term — two live incumbencies + warm architect (JWDA, DBRDS)</w:t>
            </w:r>
          </w:p>
        </w:tc>
        <w:tc>
          <w:tcPr>
            <w:tcW w:w="1667" w:type="pct"/>
          </w:tcPr>
          <w:p w14:paraId="0C7DBFC6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>Patient build — presence, not licensure, is the gate (Markulin holds CA SE)</w:t>
            </w:r>
          </w:p>
        </w:tc>
      </w:tr>
      <w:tr w:rsidR="00E67E4B" w:rsidRPr="00B57B28" w14:paraId="2462C130" w14:textId="77777777" w:rsidTr="00B57B28">
        <w:trPr>
          <w:cantSplit/>
        </w:trPr>
        <w:tc>
          <w:tcPr>
            <w:tcW w:w="1667" w:type="pct"/>
          </w:tcPr>
          <w:p w14:paraId="696D008C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b/>
                <w:bCs/>
                <w:sz w:val="19"/>
              </w:rPr>
              <w:t>#1 entry</w:t>
            </w:r>
          </w:p>
        </w:tc>
        <w:tc>
          <w:tcPr>
            <w:tcW w:w="1667" w:type="pct"/>
          </w:tcPr>
          <w:p w14:paraId="15BADDC5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 xml:space="preserve">Convert the </w:t>
            </w:r>
            <w:r w:rsidRPr="00B57B28">
              <w:rPr>
                <w:b/>
                <w:bCs/>
                <w:sz w:val="19"/>
              </w:rPr>
              <w:t>JWDA architect channel</w:t>
            </w:r>
            <w:r w:rsidRPr="00B57B28">
              <w:rPr>
                <w:sz w:val="19"/>
              </w:rPr>
              <w:t xml:space="preserve"> into a tower pipeline (KOR already SE on 4 JWDA towers)</w:t>
            </w:r>
          </w:p>
        </w:tc>
        <w:tc>
          <w:tcPr>
            <w:tcW w:w="1667" w:type="pct"/>
          </w:tcPr>
          <w:p w14:paraId="3CDA790D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 xml:space="preserve">Owner-direct </w:t>
            </w:r>
            <w:r w:rsidRPr="00B57B28">
              <w:rPr>
                <w:b/>
                <w:bCs/>
                <w:sz w:val="19"/>
              </w:rPr>
              <w:t>NDC seismic retrofit</w:t>
            </w:r>
            <w:r w:rsidRPr="00B57B28">
              <w:rPr>
                <w:sz w:val="19"/>
              </w:rPr>
              <w:t xml:space="preserve"> </w:t>
            </w:r>
            <w:r w:rsidRPr="00B57B28">
              <w:rPr>
                <w:sz w:val="19"/>
              </w:rPr>
              <w:t>(~1,400 buildings, ~2028 cliff, $100–400K each)</w:t>
            </w:r>
          </w:p>
        </w:tc>
      </w:tr>
      <w:tr w:rsidR="00E67E4B" w:rsidRPr="00B57B28" w14:paraId="69B1106A" w14:textId="77777777" w:rsidTr="00B57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7B9A23A1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b/>
                <w:bCs/>
                <w:sz w:val="19"/>
              </w:rPr>
              <w:t>Displace</w:t>
            </w:r>
          </w:p>
        </w:tc>
        <w:tc>
          <w:tcPr>
            <w:tcW w:w="1667" w:type="pct"/>
          </w:tcPr>
          <w:p w14:paraId="6355C57B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b/>
                <w:bCs/>
                <w:sz w:val="19"/>
              </w:rPr>
              <w:t>Glotman Simpson</w:t>
            </w:r>
            <w:r w:rsidRPr="00B57B28">
              <w:rPr>
                <w:sz w:val="19"/>
              </w:rPr>
              <w:t xml:space="preserve"> (LA office, </w:t>
            </w:r>
            <w:r w:rsidRPr="00B57B28">
              <w:rPr>
                <w:i/>
                <w:iCs/>
                <w:sz w:val="19"/>
              </w:rPr>
              <w:t>no SD office</w:t>
            </w:r>
            <w:r w:rsidRPr="00B57B28">
              <w:rPr>
                <w:sz w:val="19"/>
              </w:rPr>
              <w:t xml:space="preserve"> — the clean wedge). KPFF/DCI have SD offices → compete on principal attention, not presence</w:t>
            </w:r>
          </w:p>
        </w:tc>
        <w:tc>
          <w:tcPr>
            <w:tcW w:w="1667" w:type="pct"/>
          </w:tcPr>
          <w:p w14:paraId="6C85F265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>Englekirk/WSP boutique accounts (closing 2026 window)</w:t>
            </w:r>
          </w:p>
        </w:tc>
      </w:tr>
      <w:tr w:rsidR="00E67E4B" w:rsidRPr="00B57B28" w14:paraId="6B502367" w14:textId="77777777" w:rsidTr="00B57B28">
        <w:trPr>
          <w:cantSplit/>
        </w:trPr>
        <w:tc>
          <w:tcPr>
            <w:tcW w:w="1667" w:type="pct"/>
          </w:tcPr>
          <w:p w14:paraId="48CF98EF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b/>
                <w:bCs/>
                <w:sz w:val="19"/>
              </w:rPr>
              <w:t>White space</w:t>
            </w:r>
          </w:p>
        </w:tc>
        <w:tc>
          <w:tcPr>
            <w:tcW w:w="1667" w:type="pct"/>
          </w:tcPr>
          <w:p w14:paraId="5F2AEE47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b/>
                <w:bCs/>
                <w:sz w:val="19"/>
              </w:rPr>
              <w:t>Mass timber</w:t>
            </w:r>
            <w:r w:rsidRPr="00B57B28">
              <w:rPr>
                <w:sz w:val="19"/>
              </w:rPr>
              <w:t xml:space="preserve"> (no SD incumbent; CALGreen 2026 carbon rule) + mid-rise podium tier</w:t>
            </w:r>
          </w:p>
        </w:tc>
        <w:tc>
          <w:tcPr>
            <w:tcW w:w="1667" w:type="pct"/>
          </w:tcPr>
          <w:p w14:paraId="0D03F163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 xml:space="preserve">Woodframe/podium under SB 79; </w:t>
            </w:r>
            <w:r w:rsidRPr="00B57B28">
              <w:rPr>
                <w:b/>
                <w:bCs/>
                <w:sz w:val="19"/>
              </w:rPr>
              <w:t>Onni</w:t>
            </w:r>
            <w:r w:rsidRPr="00B57B28">
              <w:rPr>
                <w:sz w:val="19"/>
              </w:rPr>
              <w:t xml:space="preserve"> re-engagement (Glotman capacity-locked)</w:t>
            </w:r>
          </w:p>
        </w:tc>
      </w:tr>
      <w:tr w:rsidR="00E67E4B" w:rsidRPr="00B57B28" w14:paraId="7D58EC8C" w14:textId="77777777" w:rsidTr="00B57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7C6B0859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b/>
                <w:bCs/>
                <w:sz w:val="19"/>
              </w:rPr>
              <w:t>Avoid</w:t>
            </w:r>
          </w:p>
        </w:tc>
        <w:tc>
          <w:tcPr>
            <w:tcW w:w="1667" w:type="pct"/>
          </w:tcPr>
          <w:p w14:paraId="312C27C2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>Trophy towers (KPFF), NAVFAC, K-12/HCAI (credential gates)</w:t>
            </w:r>
          </w:p>
        </w:tc>
        <w:tc>
          <w:tcPr>
            <w:tcW w:w="1667" w:type="pct"/>
          </w:tcPr>
          <w:p w14:paraId="05FE06D6" w14:textId="77777777" w:rsidR="00E67E4B" w:rsidRPr="00B57B28" w:rsidRDefault="00650B57">
            <w:pPr>
              <w:pStyle w:val="Compact"/>
              <w:rPr>
                <w:sz w:val="19"/>
              </w:rPr>
            </w:pPr>
            <w:r w:rsidRPr="00B57B28">
              <w:rPr>
                <w:sz w:val="19"/>
              </w:rPr>
              <w:t>K-12 (DSA), HCAI hospitals, life-science new-build (oversupply)</w:t>
            </w:r>
          </w:p>
        </w:tc>
      </w:tr>
    </w:tbl>
    <w:p w14:paraId="5777A886" w14:textId="77777777" w:rsidR="00E67E4B" w:rsidRDefault="00650B57">
      <w:r>
        <w:pict w14:anchorId="511C4638">
          <v:rect id="_x0000_i1027" style="width:0;height:1.5pt" o:hralign="center" o:hrstd="t" o:hr="t"/>
        </w:pict>
      </w:r>
    </w:p>
    <w:p w14:paraId="24890BA7" w14:textId="77777777" w:rsidR="00E67E4B" w:rsidRDefault="00650B57" w:rsidP="00B57B28">
      <w:pPr>
        <w:pStyle w:val="Heading2"/>
        <w:pageBreakBefore/>
      </w:pPr>
      <w:bookmarkStart w:id="3" w:name="Xa25034fbda021169a61f4e18d52f4a10cb6c026"/>
      <w:bookmarkEnd w:id="2"/>
      <w:r>
        <w:t>San Diego trip — who to see and what to ask (priority order)</w:t>
      </w:r>
    </w:p>
    <w:p w14:paraId="3890B985" w14:textId="77777777" w:rsidR="00E67E4B" w:rsidRDefault="00650B57">
      <w:pPr>
        <w:pStyle w:val="Compact"/>
        <w:numPr>
          <w:ilvl w:val="0"/>
          <w:numId w:val="3"/>
        </w:numPr>
      </w:pPr>
      <w:r>
        <w:rPr>
          <w:b/>
          <w:bCs/>
        </w:rPr>
        <w:t>JWDA / Joseph Wong Design Associates — the warmest relationship and the real engine.</w:t>
      </w:r>
      <w:r>
        <w:t xml:space="preserve"> KOR is the SE on </w:t>
      </w:r>
      <w:r>
        <w:rPr>
          <w:b/>
          <w:bCs/>
        </w:rPr>
        <w:t>four JWDA towers across four developers</w:t>
      </w:r>
      <w:r>
        <w:t xml:space="preserve"> (The Lindley, 525 Olive, 800 Broadway, Simone). JWDA drives the KOR pick when it has discretion. </w:t>
      </w:r>
      <w:r>
        <w:rPr>
          <w:i/>
          <w:iCs/>
        </w:rPr>
        <w:t>Ask:</w:t>
      </w:r>
      <w:r>
        <w:t xml:space="preserve"> “What’s next in the JWDA pipeline — and can we be your standing structural team on it?” The goal is firm-level preferred-engineer status with JWDA, which then carries KOR developer-to-developer. (Note: the Bosa towers JWDA designs — Diega, Andia — are locked to Glotman Simpson and not winnable through JWDA.)</w:t>
      </w:r>
    </w:p>
    <w:p w14:paraId="2329F178" w14:textId="77777777" w:rsidR="00E67E4B" w:rsidRDefault="00650B57">
      <w:pPr>
        <w:pStyle w:val="Compact"/>
        <w:numPr>
          <w:ilvl w:val="0"/>
          <w:numId w:val="3"/>
        </w:numPr>
      </w:pPr>
      <w:r>
        <w:rPr>
          <w:b/>
          <w:bCs/>
        </w:rPr>
        <w:t>DBRDS (De Bartolo + Rimanic) — warm, KOR on bid list, but no open seat today.</w:t>
      </w:r>
      <w:r>
        <w:t xml:space="preserve"> KPFF is DBRDS’s firm-level standing SE across 9+ projects; displacing it needs a </w:t>
      </w:r>
      <w:r>
        <w:rPr>
          <w:b/>
          <w:bCs/>
        </w:rPr>
        <w:t>principal-level intro to De Bartolo / Rimanic</w:t>
      </w:r>
      <w:r>
        <w:t xml:space="preserve">, not an RFP response. </w:t>
      </w:r>
      <w:r>
        <w:rPr>
          <w:i/>
          <w:iCs/>
        </w:rPr>
        <w:t>Ask:</w:t>
      </w:r>
      <w:r>
        <w:t xml:space="preserve"> get in front of the principals; position for the next project where the SE isn’t already </w:t>
      </w:r>
      <w:r>
        <w:lastRenderedPageBreak/>
        <w:t xml:space="preserve">committed. </w:t>
      </w:r>
      <w:r>
        <w:rPr>
          <w:b/>
          <w:bCs/>
        </w:rPr>
        <w:t>Correction for the trip:</w:t>
      </w:r>
      <w:r>
        <w:t xml:space="preserve"> the rumored “1650 Hotel Circle </w:t>
      </w:r>
      <w:r>
        <w:rPr>
          <w:i/>
          <w:iCs/>
        </w:rPr>
        <w:t>South</w:t>
      </w:r>
      <w:r>
        <w:t xml:space="preserve">” does </w:t>
      </w:r>
      <w:r>
        <w:rPr>
          <w:b/>
          <w:bCs/>
        </w:rPr>
        <w:t>not exist</w:t>
      </w:r>
      <w:r>
        <w:t xml:space="preserve"> — the real project is </w:t>
      </w:r>
      <w:r>
        <w:rPr>
          <w:b/>
          <w:bCs/>
        </w:rPr>
        <w:t>1650 Hotel Circle North</w:t>
      </w:r>
      <w:r>
        <w:t xml:space="preserve"> (City PRJ-1130310, 12-story mixed-use, SDP filed 2025). The DBRDS-as-architect link is </w:t>
      </w:r>
      <w:r>
        <w:rPr>
          <w:b/>
          <w:bCs/>
        </w:rPr>
        <w:t>unverified</w:t>
      </w:r>
      <w:r>
        <w:t xml:space="preserve"> — do not assert it; confirm with th</w:t>
      </w:r>
      <w:r>
        <w:t>e referral source.</w:t>
      </w:r>
    </w:p>
    <w:p w14:paraId="1B214D61" w14:textId="77777777" w:rsidR="00E67E4B" w:rsidRDefault="00650B57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Greystar — KOR’s strongest </w:t>
      </w:r>
      <w:r>
        <w:rPr>
          <w:b/>
          <w:bCs/>
          <w:i/>
          <w:iCs/>
        </w:rPr>
        <w:t>verified</w:t>
      </w:r>
      <w:r>
        <w:rPr>
          <w:b/>
          <w:bCs/>
        </w:rPr>
        <w:t xml:space="preserve"> developer incumbency; elevate it.</w:t>
      </w:r>
      <w:r>
        <w:t xml:space="preserve"> Unlike Kennedy Wilson, this one is solid: KOR is the SE on </w:t>
      </w:r>
      <w:r>
        <w:rPr>
          <w:b/>
          <w:bCs/>
        </w:rPr>
        <w:t>525 Olive</w:t>
      </w:r>
      <w:r>
        <w:t xml:space="preserve"> (20-story, completed 2022, SDBJ “Best Multifamily”) and </w:t>
      </w:r>
      <w:r>
        <w:rPr>
          <w:b/>
          <w:bCs/>
        </w:rPr>
        <w:t>6th &amp; Palm</w:t>
      </w:r>
      <w:r>
        <w:t xml:space="preserve"> (20-story, under construction to 2028) — both </w:t>
      </w:r>
      <w:r>
        <w:rPr>
          <w:b/>
          <w:bCs/>
        </w:rPr>
        <w:t>Greystar developments, JWDA architect, invoiced via Greystar Development West</w:t>
      </w:r>
      <w:r>
        <w:t xml:space="preserve"> (a Deltek client entity). </w:t>
      </w:r>
      <w:r>
        <w:rPr>
          <w:i/>
          <w:iCs/>
        </w:rPr>
        <w:t>Ask Adam Covington (Sr Dir, SD) / Jerry Brand (Exec Dir Dev &amp; Construction, Western Region):</w:t>
      </w:r>
      <w:r>
        <w:t xml:space="preserve"> firm-level preferred-vendor status + what’s next in the SD pipeline; and open the </w:t>
      </w:r>
      <w:r>
        <w:rPr>
          <w:b/>
          <w:bCs/>
        </w:rPr>
        <w:t>Vancouve</w:t>
      </w:r>
      <w:r>
        <w:rPr>
          <w:b/>
          <w:bCs/>
        </w:rPr>
        <w:t>r</w:t>
      </w:r>
      <w:r>
        <w:t xml:space="preserve"> concrete-highrise door via </w:t>
      </w:r>
      <w:r>
        <w:rPr>
          <w:b/>
          <w:bCs/>
        </w:rPr>
        <w:t>John Wilbeck (MD Canada)</w:t>
      </w:r>
      <w:r>
        <w:t xml:space="preserve"> — Covington’s warm intro to Wilbeck is worth more than any cold outreach.</w:t>
      </w:r>
    </w:p>
    <w:p w14:paraId="67A25256" w14:textId="77777777" w:rsidR="00E67E4B" w:rsidRDefault="00650B57">
      <w:pPr>
        <w:pStyle w:val="Compact"/>
        <w:numPr>
          <w:ilvl w:val="0"/>
          <w:numId w:val="3"/>
        </w:numPr>
      </w:pPr>
      <w:r>
        <w:rPr>
          <w:b/>
          <w:bCs/>
        </w:rPr>
        <w:t>Pinnacle / Bosa — displacement, armed with the Glotman gap.</w:t>
      </w:r>
      <w:r>
        <w:t xml:space="preserve"> Both import </w:t>
      </w:r>
      <w:r>
        <w:rPr>
          <w:b/>
          <w:bCs/>
        </w:rPr>
        <w:t>Glotman Simpson, which has no San Diego office</w:t>
      </w:r>
      <w:r>
        <w:t xml:space="preserve"> (LA only). </w:t>
      </w:r>
      <w:r>
        <w:rPr>
          <w:i/>
          <w:iCs/>
        </w:rPr>
        <w:t>Opening probe:</w:t>
      </w:r>
      <w:r>
        <w:t xml:space="preserve"> “Who did you have on structural for [Andia / Pacific Heights], and who’s lined up for the next one?” KOR being </w:t>
      </w:r>
      <w:r>
        <w:rPr>
          <w:i/>
          <w:iCs/>
        </w:rPr>
        <w:t>in San Diego</w:t>
      </w:r>
      <w:r>
        <w:t xml:space="preserve"> + the prior Bosa relationship (Ryan Bosa testimonial; KOR was SE on Evolution, Calgary) is the in.</w:t>
      </w:r>
    </w:p>
    <w:p w14:paraId="593D8DC0" w14:textId="77777777" w:rsidR="00E67E4B" w:rsidRDefault="00650B57">
      <w:pPr>
        <w:pStyle w:val="Compact"/>
        <w:numPr>
          <w:ilvl w:val="0"/>
          <w:numId w:val="3"/>
        </w:numPr>
      </w:pPr>
      <w:r>
        <w:rPr>
          <w:b/>
          <w:bCs/>
        </w:rPr>
        <w:t>H+W Engineering — lock the teaming partner.</w:t>
      </w:r>
      <w:r>
        <w:t xml:space="preserve"> MEP, complementary, gateway is </w:t>
      </w:r>
      <w:r>
        <w:rPr>
          <w:b/>
          <w:bCs/>
        </w:rPr>
        <w:t>Mandy Serrano → principals Tom Harmon / Bryan Wayne.</w:t>
      </w:r>
      <w:r>
        <w:t xml:space="preserve"> </w:t>
      </w:r>
      <w:r>
        <w:rPr>
          <w:i/>
          <w:iCs/>
        </w:rPr>
        <w:t>Ask:</w:t>
      </w:r>
      <w:r>
        <w:t xml:space="preserve"> </w:t>
      </w:r>
      <w:r>
        <w:t>a preferred-teaming arrangement for SD multifamily/institutional; a joint pitch to Miller Hull; a warm intro to HG Fenton.</w:t>
      </w:r>
    </w:p>
    <w:p w14:paraId="2973D6CB" w14:textId="77777777" w:rsidR="00E67E4B" w:rsidRDefault="00650B57">
      <w:pPr>
        <w:pStyle w:val="FirstParagraph"/>
      </w:pPr>
      <w:r>
        <w:rPr>
          <w:b/>
          <w:bCs/>
        </w:rPr>
        <w:t>Two newly-surfaced San Diego openings worth a call (open SE seats, not yet committed):</w:t>
      </w:r>
    </w:p>
    <w:p w14:paraId="5C03EDA1" w14:textId="77777777" w:rsidR="00E67E4B" w:rsidRDefault="00650B57">
      <w:pPr>
        <w:pStyle w:val="Compact"/>
        <w:numPr>
          <w:ilvl w:val="0"/>
          <w:numId w:val="4"/>
        </w:numPr>
      </w:pPr>
      <w:r>
        <w:rPr>
          <w:b/>
          <w:bCs/>
        </w:rPr>
        <w:t>Safdie Rabines Architects</w:t>
      </w:r>
      <w:r>
        <w:t xml:space="preserve"> — marquee commissions with </w:t>
      </w:r>
      <w:r>
        <w:rPr>
          <w:b/>
          <w:bCs/>
        </w:rPr>
        <w:t>no structural engineer named yet</w:t>
      </w:r>
      <w:r>
        <w:t>: Oceanside Museum of Art expansion, San Diego Museum of Art (Balboa Park) renovation, and Midway Rising. Genuine open seats; KOR’s cultural/heritage pedigree fits.</w:t>
      </w:r>
    </w:p>
    <w:p w14:paraId="1DC0290F" w14:textId="77777777" w:rsidR="00E67E4B" w:rsidRDefault="00650B57">
      <w:pPr>
        <w:pStyle w:val="Compact"/>
        <w:numPr>
          <w:ilvl w:val="0"/>
          <w:numId w:val="4"/>
        </w:numPr>
      </w:pPr>
      <w:r>
        <w:rPr>
          <w:b/>
          <w:bCs/>
        </w:rPr>
        <w:t>AC Martin</w:t>
      </w:r>
      <w:r>
        <w:t xml:space="preserve"> — opened a </w:t>
      </w:r>
      <w:r>
        <w:rPr>
          <w:b/>
          <w:bCs/>
        </w:rPr>
        <w:t>new San Diego office (~late 2023)</w:t>
      </w:r>
      <w:r>
        <w:t xml:space="preserve"> whose SE network isn’t locked yet; multifamily/mixed-use is their top sector. Target </w:t>
      </w:r>
      <w:r>
        <w:rPr>
          <w:b/>
          <w:bCs/>
        </w:rPr>
        <w:t>Sami Khoury</w:t>
      </w:r>
      <w:r>
        <w:t xml:space="preserve"> and </w:t>
      </w:r>
      <w:r>
        <w:rPr>
          <w:b/>
          <w:bCs/>
        </w:rPr>
        <w:t>Gilbert Rocca</w:t>
      </w:r>
      <w:r>
        <w:t xml:space="preserve"> early.</w:t>
      </w:r>
    </w:p>
    <w:p w14:paraId="6FF3E9AE" w14:textId="77777777" w:rsidR="00E67E4B" w:rsidRDefault="00650B57">
      <w:pPr>
        <w:pStyle w:val="FirstParagraph"/>
      </w:pPr>
      <w:r>
        <w:rPr>
          <w:i/>
          <w:iCs/>
        </w:rPr>
        <w:t xml:space="preserve">(Kennedy Wilson and Trammell Crow are primarily LA-weighted relationships — see their dossiers. Important correction: </w:t>
      </w:r>
      <w:r>
        <w:rPr>
          <w:b/>
          <w:bCs/>
          <w:i/>
          <w:iCs/>
        </w:rPr>
        <w:t>KOR’s SD tower credit on The Lindley came via JWDA for a Toll Brothers/PGIM development — not for Kennedy Wilson.</w:t>
      </w:r>
      <w:r>
        <w:rPr>
          <w:i/>
          <w:iCs/>
        </w:rPr>
        <w:t xml:space="preserve"> Treat KW as a relationship to build, not an SD incumbency to “protect.”)</w:t>
      </w:r>
    </w:p>
    <w:p w14:paraId="7B58B21E" w14:textId="77777777" w:rsidR="00E67E4B" w:rsidRDefault="00650B57">
      <w:r>
        <w:pict w14:anchorId="44BEADB8">
          <v:rect id="_x0000_i1028" style="width:0;height:1.5pt" o:hralign="center" o:hrstd="t" o:hr="t"/>
        </w:pict>
      </w:r>
    </w:p>
    <w:p w14:paraId="14B6171F" w14:textId="77777777" w:rsidR="00E67E4B" w:rsidRDefault="00650B57" w:rsidP="00B57B28">
      <w:pPr>
        <w:pStyle w:val="Heading2"/>
        <w:pageBreakBefore/>
      </w:pPr>
      <w:bookmarkStart w:id="4" w:name="Xf018508f869f7519358d28c4e5f6bf5b06f17c7"/>
      <w:bookmarkEnd w:id="3"/>
      <w:r>
        <w:lastRenderedPageBreak/>
        <w:t>Before anything closes — three confirmations</w:t>
      </w:r>
    </w:p>
    <w:p w14:paraId="28A1BB3B" w14:textId="77777777" w:rsidR="00E67E4B" w:rsidRDefault="00650B57">
      <w:pPr>
        <w:pStyle w:val="Compact"/>
        <w:numPr>
          <w:ilvl w:val="0"/>
          <w:numId w:val="5"/>
        </w:numPr>
      </w:pPr>
      <w:r>
        <w:rPr>
          <w:b/>
          <w:bCs/>
        </w:rPr>
        <w:t>California registration is the gate.</w:t>
      </w:r>
      <w:r>
        <w:t xml:space="preserve"> Confirm KOR’s CA SE coverage (Markulin holds it), and note DSA (schools) / HCAI (acute-care) credentialing gates before chasing those segments.</w:t>
      </w:r>
    </w:p>
    <w:p w14:paraId="5F989E66" w14:textId="77777777" w:rsidR="00E67E4B" w:rsidRDefault="00650B57">
      <w:pPr>
        <w:pStyle w:val="Compact"/>
        <w:numPr>
          <w:ilvl w:val="0"/>
          <w:numId w:val="5"/>
        </w:numPr>
      </w:pPr>
      <w:r>
        <w:rPr>
          <w:b/>
          <w:bCs/>
        </w:rPr>
        <w:t>SE-of-record is unpublished for ~90% of named SD projects.</w:t>
      </w:r>
      <w:r>
        <w:t xml:space="preserve"> Incumbencies asserted in the dossiers are sourced where a firm/architect/award names them; the rest are flagged UNVERIFIED — confirm via SEAOSD/EGBC network and permit records, not web search.</w:t>
      </w:r>
    </w:p>
    <w:p w14:paraId="7D019255" w14:textId="77777777" w:rsidR="00E67E4B" w:rsidRDefault="00650B57">
      <w:pPr>
        <w:pStyle w:val="Compact"/>
        <w:numPr>
          <w:ilvl w:val="0"/>
          <w:numId w:val="5"/>
        </w:numPr>
      </w:pPr>
      <w:r>
        <w:rPr>
          <w:b/>
          <w:bCs/>
        </w:rPr>
        <w:t>Manage the EGBC-2019 disclosure</w:t>
      </w:r>
      <w:r>
        <w:t xml:space="preserve"> when leading with seismic/heritage credentials.</w:t>
      </w:r>
    </w:p>
    <w:p w14:paraId="4057BA92" w14:textId="77777777" w:rsidR="00E67E4B" w:rsidRDefault="00650B57">
      <w:r>
        <w:pict w14:anchorId="621B460E">
          <v:rect id="_x0000_i1029" style="width:0;height:1.5pt" o:hralign="center" o:hrstd="t" o:hr="t"/>
        </w:pict>
      </w:r>
    </w:p>
    <w:p w14:paraId="009D37E7" w14:textId="77777777" w:rsidR="00E67E4B" w:rsidRDefault="00650B57" w:rsidP="00B57B28">
      <w:pPr>
        <w:pStyle w:val="Heading2"/>
        <w:pageBreakBefore/>
      </w:pPr>
      <w:bookmarkStart w:id="5" w:name="Xbe28a8ed658088db00715648b9635e3a8c726db"/>
      <w:bookmarkEnd w:id="4"/>
      <w:r>
        <w:t>What was done to produce this packet (so you can trust it)</w:t>
      </w:r>
    </w:p>
    <w:p w14:paraId="2A76499F" w14:textId="77777777" w:rsidR="00E67E4B" w:rsidRDefault="00650B57">
      <w:pPr>
        <w:pStyle w:val="FirstParagraph"/>
      </w:pPr>
      <w:r>
        <w:t xml:space="preserve">Deep multi-agent research (anti-fabrication, every claim source-backed or confidence-tagged) across both markets and all six firms; </w:t>
      </w:r>
      <w:r>
        <w:rPr>
          <w:b/>
          <w:bCs/>
        </w:rPr>
        <w:t>verified contacts pulled via Apollo/Hunter</w:t>
      </w:r>
      <w:r>
        <w:t xml:space="preserve"> (24 confirmed work emails, 0 wrong-company matches) into the BD platform; a </w:t>
      </w:r>
      <w:r>
        <w:rPr>
          <w:b/>
          <w:bCs/>
        </w:rPr>
        <w:t>dedup + ingest pass</w:t>
      </w:r>
      <w:r>
        <w:t xml:space="preserve"> (merged Greystar/Trammell duplicate canonicals; ingested Glotman Simpson and 20 other missing SD/LA orgs; removed Bosa Properties/Townline contamination from Bosa Development); and a hardening fix to the ingest pipeline so this data lands cleanly going forward. Confidence tags and “verify-before-citing” flags are carried through every dossier.</w:t>
      </w:r>
      <w:bookmarkEnd w:id="0"/>
      <w:bookmarkEnd w:id="5"/>
    </w:p>
    <w:sectPr w:rsidR="00E67E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A2FF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BAF3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0EA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6734783">
    <w:abstractNumId w:val="0"/>
  </w:num>
  <w:num w:numId="2" w16cid:durableId="643238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078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3167833">
    <w:abstractNumId w:val="1"/>
  </w:num>
  <w:num w:numId="5" w16cid:durableId="1793090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E4B"/>
    <w:rsid w:val="000242A2"/>
    <w:rsid w:val="00650B57"/>
    <w:rsid w:val="00B57B28"/>
    <w:rsid w:val="00E6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D06A"/>
  <w15:docId w15:val="{935317A9-1830-41A5-BDCD-3C30CF4F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B57B2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1168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2026-06-27T01:49:00Z</dcterms:created>
  <dcterms:modified xsi:type="dcterms:W3CDTF">2026-06-27T01:49:00Z</dcterms:modified>
</cp:coreProperties>
</file>