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BC Seismic Program — Engineering Group Briefing</w:t>
      </w:r>
    </w:p>
    <w:p>
      <w:pPr>
        <w:pStyle w:val="Author"/>
      </w:pPr>
      <w:r>
        <w:t xml:space="preserve">KOR Structural — talking points (Ian Lalonde)</w:t>
      </w:r>
    </w:p>
    <w:p>
      <w:pPr>
        <w:pStyle w:val="Date"/>
      </w:pPr>
      <w:r>
        <w:t xml:space="preserve">2026-06-17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Purpose of this note:</w:t>
      </w:r>
      <w:r>
        <w:t xml:space="preserve"> </w:t>
      </w:r>
      <w:r>
        <w:t xml:space="preserve">you’ve all discussed the BC school seismic program for a long time. I’ve now gone through the actual program documents end-to-end and verified every claim below against the primary gov.bc.ca / EGBC sources. Here’s exactly where it stands, what gets us in, where we realistically fit, and what I need from this group. The intent is simple:</w:t>
      </w:r>
      <w:r>
        <w:t xml:space="preserve"> </w:t>
      </w:r>
      <w:r>
        <w:rPr>
          <w:b/>
          <w:bCs/>
        </w:rPr>
        <w:t xml:space="preserve">we’re on it now, and the facts are in hand.</w:t>
      </w:r>
    </w:p>
    <w:p>
      <w:r>
        <w:pict>
          <v:rect style="width:0;height:1.5pt" o:hralign="center" o:hrstd="t" o:hr="t"/>
        </w:pict>
      </w:r>
    </w:p>
    <w:bookmarkStart w:id="9" w:name="Xb906a260d75005d8605f7d78d9d6fc36137e324"/>
    <w:p>
      <w:pPr>
        <w:pStyle w:val="Heading2"/>
      </w:pPr>
      <w:r>
        <w:t xml:space="preserve">1. How the school program actually works (verified)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Program:</w:t>
      </w:r>
      <w:r>
        <w:t xml:space="preserve"> </w:t>
      </w:r>
      <w:r>
        <w:t xml:space="preserve">Seismic Mitigation Program (SMP). Provincially funded (now Min. of Infrastructure), delivered</w:t>
      </w:r>
      <w:r>
        <w:t xml:space="preserve"> </w:t>
      </w:r>
      <w:r>
        <w:rPr>
          <w:b/>
          <w:bCs/>
        </w:rPr>
        <w:t xml:space="preserve">through the school districts</w:t>
      </w:r>
      <w:r>
        <w:t xml:space="preserve">. EGBC is the Ministry’s technical advisor.</w:t>
      </w:r>
      <w:r>
        <w:t xml:space="preserve"> </w:t>
      </w:r>
      <w:r>
        <w:rPr>
          <w:b/>
          <w:bCs/>
        </w:rPr>
        <w:t xml:space="preserve">$1.9B+ spent; 233 done, 247 still on the list, 498 total</w:t>
      </w:r>
      <w:r>
        <w:t xml:space="preserve"> </w:t>
      </w:r>
      <w:r>
        <w:t xml:space="preserve">(May-2026 Progress Report — exact figures).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Entry point is the SPIR</w:t>
      </w:r>
      <w:r>
        <w:t xml:space="preserve"> </w:t>
      </w:r>
      <w:r>
        <w:t xml:space="preserve">— the Seismic Project Identification Report.</w:t>
      </w:r>
      <w:r>
        <w:t xml:space="preserve"> </w:t>
      </w:r>
      <w:r>
        <w:rPr>
          <w:i/>
          <w:iCs/>
        </w:rPr>
        <w:t xml:space="preserve">“The Ministry of Education requires that a School District submit a SPIR as the first step in requesting seismic upgrading funding.”</w:t>
      </w:r>
      <w:r>
        <w:t xml:space="preserve"> </w:t>
      </w:r>
      <w:r>
        <w:t xml:space="preserve">It defines scope/schedule/risk and a Class C cost estimate; it feeds the PDR, then the Capital Project Funding Agreement, then design/construction.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structural engineer is the PRIME on the SPIR.</w:t>
      </w:r>
      <w:r>
        <w:t xml:space="preserve"> </w:t>
      </w:r>
      <w:r>
        <w:t xml:space="preserve">Verbatim:</w:t>
      </w:r>
      <w:r>
        <w:t xml:space="preserve"> </w:t>
      </w:r>
      <w:r>
        <w:rPr>
          <w:i/>
          <w:iCs/>
        </w:rPr>
        <w:t xml:space="preserve">“The prime consultant for an SPIR shall meet the following requirements: (a) structural engineering consultant.”</w:t>
      </w:r>
      <w:r>
        <w:t xml:space="preserve"> </w:t>
      </w:r>
      <w:r>
        <w:t xml:space="preserve">The SE</w:t>
      </w:r>
      <w:r>
        <w:t xml:space="preserve"> </w:t>
      </w:r>
      <w:r>
        <w:rPr>
          <w:i/>
          <w:iCs/>
        </w:rPr>
        <w:t xml:space="preserve">“shall retain and coordinate”</w:t>
      </w:r>
      <w:r>
        <w:t xml:space="preserve"> </w:t>
      </w:r>
      <w:r>
        <w:t xml:space="preserve">the A/M/E, geotechnical and cost-consultant team. This is unusual and it’s in our favour — at the study stage</w:t>
      </w:r>
      <w:r>
        <w:t xml:space="preserve"> </w:t>
      </w:r>
      <w:r>
        <w:rPr>
          <w:b/>
          <w:bCs/>
        </w:rPr>
        <w:t xml:space="preserve">we lead, the architect subs to us.</w:t>
      </w:r>
      <w:r>
        <w:t xml:space="preserve"> </w:t>
      </w:r>
      <w:r>
        <w:t xml:space="preserve">(At detailed design/construction the prime typically reverts to the architect.)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SRG is mandatory.</w:t>
      </w:r>
      <w:r>
        <w:t xml:space="preserve"> </w:t>
      </w:r>
      <w:r>
        <w:rPr>
          <w:i/>
          <w:iCs/>
        </w:rPr>
        <w:t xml:space="preserve">“The technical reference for all SPIR studies is the current edition of the Seismic Retrofit Guidelines.”</w:t>
      </w:r>
      <w:r>
        <w:t xml:space="preserve"> </w:t>
      </w:r>
      <w:r>
        <w:t xml:space="preserve">Risk ratings (H1/H2/H3 priority blocks) come out of the SRG performance-based methodology.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TRB gate.</w:t>
      </w:r>
      <w:r>
        <w:t xml:space="preserve"> </w:t>
      </w:r>
      <w:r>
        <w:t xml:space="preserve">Every SPIR and PDR is reviewed by the</w:t>
      </w:r>
      <w:r>
        <w:t xml:space="preserve"> </w:t>
      </w:r>
      <w:r>
        <w:rPr>
          <w:b/>
          <w:bCs/>
        </w:rPr>
        <w:t xml:space="preserve">Technical Review Board</w:t>
      </w:r>
      <w:r>
        <w:t xml:space="preserve"> </w:t>
      </w:r>
      <w:r>
        <w:t xml:space="preserve">(APEGBC/EGBC-administered — structural + geotech engineers + cost consultants)</w:t>
      </w:r>
      <w:r>
        <w:t xml:space="preserve"> </w:t>
      </w:r>
      <w:r>
        <w:rPr>
          <w:b/>
          <w:bCs/>
        </w:rPr>
        <w:t xml:space="preserve">before the Ministry accepts it</w:t>
      </w:r>
      <w:r>
        <w:t xml:space="preserve">; a SPIR is</w:t>
      </w:r>
      <w:r>
        <w:t xml:space="preserve"> </w:t>
      </w:r>
      <w:r>
        <w:t xml:space="preserve">“formally complete”</w:t>
      </w:r>
      <w:r>
        <w:t xml:space="preserve"> </w:t>
      </w:r>
      <w:r>
        <w:t xml:space="preserve">only after TRB cost-reviewer and TRB Panel-Lead sign-off.</w:t>
      </w:r>
      <w:r>
        <w:t xml:space="preserve"> </w:t>
      </w:r>
      <w:r>
        <w:rPr>
          <w:i/>
          <w:iCs/>
        </w:rPr>
        <w:t xml:space="preserve">(Operational note: SPIR submissions are administered through a Bush Bohlman desk — they staff the TRB review.)</w:t>
      </w:r>
    </w:p>
    <w:bookmarkEnd w:id="9"/>
    <w:bookmarkStart w:id="10" w:name="Xc835d390bfb145641dcf22042c825f3e6a952c6"/>
    <w:p>
      <w:pPr>
        <w:pStyle w:val="Heading2"/>
      </w:pPr>
      <w:r>
        <w:t xml:space="preserve">2. The gate — what a firm must have to do this work</w:t>
      </w:r>
    </w:p>
    <w:p>
      <w:pPr>
        <w:pStyle w:val="FirstParagraph"/>
      </w:pPr>
      <w:r>
        <w:t xml:space="preserve">This is the part that matters for</w:t>
      </w:r>
      <w:r>
        <w:t xml:space="preserve"> </w:t>
      </w:r>
      <w:r>
        <w:t xml:space="preserve">“how do we get registered”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EGBC SRG training is the hard prerequisite.</w:t>
      </w:r>
      <w:r>
        <w:t xml:space="preserve"> </w:t>
      </w:r>
      <w:r>
        <w:t xml:space="preserve">Two independent confirmations:</w:t>
      </w:r>
    </w:p>
    <w:p>
      <w:pPr>
        <w:pStyle w:val="Compact"/>
        <w:numPr>
          <w:ilvl w:val="1"/>
          <w:numId w:val="1003"/>
        </w:numPr>
      </w:pPr>
      <w:r>
        <w:t xml:space="preserve">SPIR Guidelines: the prime’s project manager / project engineer must have completed the SRG training,</w:t>
      </w:r>
      <w:r>
        <w:t xml:space="preserve"> </w:t>
      </w:r>
      <w:r>
        <w:rPr>
          <w:i/>
          <w:iCs/>
        </w:rPr>
        <w:t xml:space="preserve">“as verified by a signed attestation.”</w:t>
      </w:r>
    </w:p>
    <w:p>
      <w:pPr>
        <w:pStyle w:val="Compact"/>
        <w:numPr>
          <w:ilvl w:val="1"/>
          <w:numId w:val="1003"/>
        </w:numPr>
      </w:pPr>
      <w:r>
        <w:t xml:space="preserve">EGBC:</w:t>
      </w:r>
      <w:r>
        <w:t xml:space="preserve"> </w:t>
      </w:r>
      <w:r>
        <w:rPr>
          <w:i/>
          <w:iCs/>
        </w:rPr>
        <w:t xml:space="preserve">“Only firms who have had one or more registrants trained on the current SRG are granted access to the guidelines and seismic performance analyzer.”</w:t>
      </w:r>
    </w:p>
    <w:p>
      <w:pPr>
        <w:pStyle w:val="Compact"/>
        <w:numPr>
          <w:ilvl w:val="0"/>
          <w:numId w:val="1002"/>
        </w:numPr>
      </w:pPr>
      <w:r>
        <w:t xml:space="preserve">Training also unlocks the</w:t>
      </w:r>
      <w:r>
        <w:t xml:space="preserve"> </w:t>
      </w:r>
      <w:r>
        <w:rPr>
          <w:b/>
          <w:bCs/>
        </w:rPr>
        <w:t xml:space="preserve">Seismic Performance Analyzer</w:t>
      </w:r>
      <w:r>
        <w:t xml:space="preserve"> </w:t>
      </w:r>
      <w:r>
        <w:t xml:space="preserve">and, with a signed Confidentiality Agreement, the</w:t>
      </w:r>
      <w:r>
        <w:t xml:space="preserve"> </w:t>
      </w:r>
      <w:r>
        <w:rPr>
          <w:b/>
          <w:bCs/>
        </w:rPr>
        <w:t xml:space="preserve">BC Seismic Retrofit Program Database</w:t>
      </w:r>
      <w:r>
        <w:t xml:space="preserve"> </w:t>
      </w:r>
      <w:r>
        <w:t xml:space="preserve">(every school’s risk + status — the prime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be a registered database user).</w:t>
      </w:r>
    </w:p>
    <w:p>
      <w:pPr>
        <w:pStyle w:val="Compact"/>
        <w:numPr>
          <w:ilvl w:val="0"/>
          <w:numId w:val="1002"/>
        </w:numPr>
      </w:pPr>
      <w:r>
        <w:t xml:space="preserve">EGBC publishes a</w:t>
      </w:r>
      <w:r>
        <w:t xml:space="preserve"> </w:t>
      </w:r>
      <w:r>
        <w:rPr>
          <w:b/>
          <w:bCs/>
        </w:rPr>
        <w:t xml:space="preserve">“Seismic Retrofit Engineering Firms”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— effectively the prequalification roster. The incumbents on it include</w:t>
      </w:r>
      <w:r>
        <w:t xml:space="preserve"> </w:t>
      </w:r>
      <w:r>
        <w:rPr>
          <w:b/>
          <w:bCs/>
        </w:rPr>
        <w:t xml:space="preserve">RJC and Fast + Epp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 confirmed (EGBC Knowledge Centre):</w:t>
      </w:r>
      <w:r>
        <w:t xml:space="preserve"> </w:t>
      </w:r>
      <w:r>
        <w:t xml:space="preserve">the course is</w:t>
      </w:r>
      <w:r>
        <w:t xml:space="preserve"> </w:t>
      </w:r>
      <w:r>
        <w:rPr>
          <w:b/>
          <w:bCs/>
        </w:rPr>
        <w:t xml:space="preserve">“Seismic Retrofit Guidelines 2023 Edition (SRG2023)”</w:t>
      </w:r>
      <w:r>
        <w:t xml:space="preserve"> </w:t>
      </w:r>
      <w:r>
        <w:t xml:space="preserve">— online video,</w:t>
      </w:r>
      <w:r>
        <w:t xml:space="preserve"> </w:t>
      </w:r>
      <w:r>
        <w:rPr>
          <w:b/>
          <w:bCs/>
        </w:rPr>
        <w:t xml:space="preserve">7 CE hours, $689</w:t>
      </w:r>
      <w:r>
        <w:t xml:space="preserve"> </w:t>
      </w:r>
      <w:r>
        <w:t xml:space="preserve">per registrant, tagged</w:t>
      </w:r>
      <w:r>
        <w:t xml:space="preserve"> </w:t>
      </w:r>
      <w:r>
        <w:rPr>
          <w:i/>
          <w:iCs/>
        </w:rPr>
        <w:t xml:space="preserve">Seismic School Program / Structural</w:t>
      </w:r>
      <w:r>
        <w:t xml:space="preserve">. At that price it’s a same-day decision.</w:t>
      </w:r>
      <w:r>
        <w:t xml:space="preserve"> </w:t>
      </w:r>
      <w:r>
        <w:rPr>
          <w:i/>
          <w:iCs/>
        </w:rPr>
        <w:t xml:space="preserve">(To confirm on enrolment: whether completion auto-adds KOR to the firm-access list + the Seismic Retrofit Companies roster, and any recertification when the SRG edition updates.)</w:t>
      </w:r>
    </w:p>
    <w:bookmarkEnd w:id="10"/>
    <w:bookmarkStart w:id="11" w:name="our-honest-position"/>
    <w:p>
      <w:pPr>
        <w:pStyle w:val="Heading2"/>
      </w:pPr>
      <w:r>
        <w:t xml:space="preserve">3. Our honest position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 have deep seismic capability</w:t>
      </w:r>
      <w:r>
        <w:t xml:space="preserve"> </w:t>
      </w:r>
      <w:r>
        <w:t xml:space="preserve">— heritage and high-importance/post-disaster work, Markulin on the CSA A23.3 Cl. 21 seismic committee, performance-based design experience. That’s real and it’s a strength.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But we have no K-12 school-seismic track record</w:t>
      </w:r>
      <w:r>
        <w:t xml:space="preserve">, and districts shortlist on demonstrated school experience. RJC and Fast + Epp are the entrenched incumbents. So on schools we are a</w:t>
      </w:r>
      <w:r>
        <w:t xml:space="preserve"> </w:t>
      </w:r>
      <w:r>
        <w:rPr>
          <w:b/>
          <w:bCs/>
        </w:rPr>
        <w:t xml:space="preserve">credible challenger, not a shoo-in.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realistic path:</w:t>
      </w:r>
      <w:r>
        <w:t xml:space="preserve"> </w:t>
      </w:r>
      <w:r>
        <w:t xml:space="preserve">get SRG-trained, then go after</w:t>
      </w:r>
      <w:r>
        <w:t xml:space="preserve"> </w:t>
      </w:r>
      <w:r>
        <w:rPr>
          <w:b/>
          <w:bCs/>
        </w:rPr>
        <w:t xml:space="preserve">first SPIR (study) assignments</w:t>
      </w:r>
      <w:r>
        <w:t xml:space="preserve"> </w:t>
      </w:r>
      <w:r>
        <w:t xml:space="preserve">— lower stakes, SE-led, and they build the reference line we need — rather than expecting the large replacement projects out of the gate. Teaming with an established firm for a first credit is also on the table.</w:t>
      </w:r>
    </w:p>
    <w:bookmarkEnd w:id="11"/>
    <w:bookmarkStart w:id="12" w:name="the-other-four-doors-so-were-complete"/>
    <w:p>
      <w:pPr>
        <w:pStyle w:val="Heading2"/>
      </w:pPr>
      <w:r>
        <w:t xml:space="preserve">4. The other four doors (so we’re complete)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/ hospitals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PHSA maintains the central pre-qualified consultant list on behalf of all the health authorities</w:t>
      </w:r>
      <w:r>
        <w:t xml:space="preserve">; we join via the annual Notice of Intent on BC Bid. Major hospital builds go P3/design-build through Infrastructure BC (Bush Bohlman is the structural incumbent there). High-importance/post-disaster category work — squarely our strength.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Provincial / municipal / post-disaster (fire halls, EOCs)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our best capability match.</w:t>
      </w:r>
      <w:r>
        <w:t xml:space="preserve"> </w:t>
      </w:r>
      <w:r>
        <w:t xml:space="preserve">No dedicated funding program (CEPF is flood/emergency-prep, grants go to governments), but there ARE rosters:</w:t>
      </w:r>
      <w:r>
        <w:t xml:space="preserve"> </w:t>
      </w:r>
      <w:r>
        <w:rPr>
          <w:b/>
          <w:bCs/>
        </w:rPr>
        <w:t xml:space="preserve">City of Vancouver’s pre-qualified engineering-consultant roster</w:t>
      </w:r>
      <w:r>
        <w:t xml:space="preserve"> </w:t>
      </w:r>
      <w:r>
        <w:t xml:space="preserve">(refreshed Feb 2024, ~57 firms) and the</w:t>
      </w:r>
      <w:r>
        <w:t xml:space="preserve"> </w:t>
      </w:r>
      <w:r>
        <w:rPr>
          <w:b/>
          <w:bCs/>
        </w:rPr>
        <w:t xml:space="preserve">provincial Multi-Use List RFQ</w:t>
      </w:r>
      <w:r>
        <w:t xml:space="preserve">. We get on those.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Bridges (MOTI)</w:t>
      </w:r>
      <w:r>
        <w:t xml:space="preserve"> </w:t>
      </w:r>
      <w:r>
        <w:t xml:space="preserve">— real, funded program via the</w:t>
      </w:r>
      <w:r>
        <w:t xml:space="preserve"> </w:t>
      </w:r>
      <w:r>
        <w:rPr>
          <w:b/>
          <w:bCs/>
        </w:rPr>
        <w:t xml:space="preserve">e-RISP roster</w:t>
      </w:r>
      <w:r>
        <w:t xml:space="preserve"> </w:t>
      </w:r>
      <w:r>
        <w:t xml:space="preserve">(roster selection under $1M, BC Bid over $1M), design to CSA S6:19 + the MOTI Vol. 1 §4 supplement, Lifeline/Major-Route/Other importance categories, peer review for Lifeline.</w:t>
      </w:r>
      <w:r>
        <w:t xml:space="preserve"> </w:t>
      </w:r>
      <w:r>
        <w:rPr>
          <w:b/>
          <w:bCs/>
        </w:rPr>
        <w:t xml:space="preserve">Not our lane — buildings, not bridges. We consciously skip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Post-secondary</w:t>
      </w:r>
      <w:r>
        <w:t xml:space="preserve"> </w:t>
      </w:r>
      <w:r>
        <w:t xml:space="preserve">— institution-led; register on UBC’s Bonfire portal, monitor BC Bid. Relationship-driven.</w:t>
      </w:r>
    </w:p>
    <w:bookmarkEnd w:id="12"/>
    <w:bookmarkStart w:id="13" w:name="what-i-need-from-this-group"/>
    <w:p>
      <w:pPr>
        <w:pStyle w:val="Heading2"/>
      </w:pPr>
      <w:r>
        <w:t xml:space="preserve">5. What I need from this group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Are any of our engineers already SRG-trained?</w:t>
      </w:r>
      <w:r>
        <w:t xml:space="preserve"> </w:t>
      </w:r>
      <w:r>
        <w:t xml:space="preserve">If yes, we may be closer than we think. If not, who do we put through it first?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Who’s willing to lead our first SPIR(s)?</w:t>
      </w:r>
      <w:r>
        <w:t xml:space="preserve"> </w:t>
      </w:r>
      <w:r>
        <w:t xml:space="preserve">— these are SE-prime, so it’s our name on the prime 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 our P.Eng coverage</w:t>
      </w:r>
      <w:r>
        <w:t xml:space="preserve"> </w:t>
      </w:r>
      <w:r>
        <w:t xml:space="preserve">for high-importance/post-disaster structures (Designated Structural Engineer where required).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Sanity-check my read</w:t>
      </w:r>
      <w:r>
        <w:t xml:space="preserve"> </w:t>
      </w:r>
      <w:r>
        <w:t xml:space="preserve">— you know this domain; tell me if anything here doesn’t match your experience on the ground.</w:t>
      </w:r>
    </w:p>
    <w:bookmarkEnd w:id="13"/>
    <w:bookmarkStart w:id="14" w:name="the-plan-concrete"/>
    <w:p>
      <w:pPr>
        <w:pStyle w:val="Heading2"/>
      </w:pPr>
      <w:r>
        <w:t xml:space="preserve">6. The plan (concrete)</w:t>
      </w:r>
    </w:p>
    <w:p>
      <w:pPr>
        <w:pStyle w:val="Compact"/>
        <w:numPr>
          <w:ilvl w:val="0"/>
          <w:numId w:val="1007"/>
        </w:numPr>
      </w:pPr>
      <w:r>
        <w:t xml:space="preserve">A structural P.Eng (the intended SPIR lead) takes the</w:t>
      </w:r>
      <w:r>
        <w:t xml:space="preserve"> </w:t>
      </w:r>
      <w:r>
        <w:rPr>
          <w:b/>
          <w:bCs/>
        </w:rPr>
        <w:t xml:space="preserve">EGBC SRG2023 course</w:t>
      </w:r>
      <w:r>
        <w:t xml:space="preserve"> </w:t>
      </w:r>
      <w:r>
        <w:t xml:space="preserve">on their own login ($689, 7 CE hrs). It attaches to the individual registrant, so it must be one of us with a P.Eng — not a non-registrant account.</w:t>
      </w:r>
    </w:p>
    <w:p>
      <w:pPr>
        <w:pStyle w:val="Compact"/>
        <w:numPr>
          <w:ilvl w:val="0"/>
          <w:numId w:val="1007"/>
        </w:numPr>
      </w:pPr>
      <w:r>
        <w:t xml:space="preserve">Sign the</w:t>
      </w:r>
      <w:r>
        <w:t xml:space="preserve"> </w:t>
      </w:r>
      <w:r>
        <w:rPr>
          <w:b/>
          <w:bCs/>
        </w:rPr>
        <w:t xml:space="preserve">EGBC database Confidentiality Agreement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Apply to</w:t>
      </w:r>
      <w:r>
        <w:t xml:space="preserve"> </w:t>
      </w:r>
      <w:r>
        <w:rPr>
          <w:b/>
          <w:bCs/>
        </w:rPr>
        <w:t xml:space="preserve">PHSA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City of Vancouver / provincial engineering rosters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Pick our</w:t>
      </w:r>
      <w:r>
        <w:t xml:space="preserve"> </w:t>
      </w:r>
      <w:r>
        <w:rPr>
          <w:b/>
          <w:bCs/>
        </w:rPr>
        <w:t xml:space="preserve">first SPIR targets</w:t>
      </w:r>
      <w:r>
        <w:t xml:space="preserve"> </w:t>
      </w:r>
      <w:r>
        <w:t xml:space="preserve">(solo or teamed).</w:t>
      </w:r>
    </w:p>
    <w:p>
      <w:pPr>
        <w:pStyle w:val="Compact"/>
        <w:numPr>
          <w:ilvl w:val="0"/>
          <w:numId w:val="1007"/>
        </w:numPr>
      </w:pPr>
      <w:r>
        <w:t xml:space="preserve">Wire the</w:t>
      </w:r>
      <w:r>
        <w:t xml:space="preserve"> </w:t>
      </w:r>
      <w:r>
        <w:rPr>
          <w:b/>
          <w:bCs/>
        </w:rPr>
        <w:t xml:space="preserve">247-school pipeline into Biz Brain</w:t>
      </w:r>
      <w:r>
        <w:t xml:space="preserve"> </w:t>
      </w:r>
      <w:r>
        <w:t xml:space="preserve">so we’re tracking every one of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Every figure and quotation above was re-checked on 2026-06-17 directly against the original government source documents (SPIR Guidelines, SMP Progress Report, the gov.bc.ca SMP page, EGBC, PHSA, MOTI e-RISP, UBCM CEPF). Full report with citations available on request.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 Seismic Program — Engineering Group Briefing</dc:title>
  <dc:creator>KOR Structural — talking points (Ian Lalonde)</dc:creator>
  <cp:keywords/>
  <dcterms:created xsi:type="dcterms:W3CDTF">2026-06-25T22:35:47Z</dcterms:created>
  <dcterms:modified xsi:type="dcterms:W3CDTF">2026-06-25T22:35:47Z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2026-06-17</vt:lpwstr>
  </property>
</Properties>
</file>