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762B" w14:textId="77777777" w:rsidR="00C026BD" w:rsidRDefault="008D22AA">
      <w:pPr>
        <w:pStyle w:val="Heading1"/>
      </w:pPr>
      <w:bookmarkStart w:id="0" w:name="Xfbd538fc9397c088c9acab3dbdf907c88fd6dd2"/>
      <w:r>
        <w:t>Business Development — Vancouver / Lower Mainland</w:t>
      </w:r>
    </w:p>
    <w:p w14:paraId="5B34451B" w14:textId="77777777" w:rsidR="00C026BD" w:rsidRDefault="008D22AA">
      <w:pPr>
        <w:pStyle w:val="Heading3"/>
      </w:pPr>
      <w:bookmarkStart w:id="1" w:name="executive-summary-19-june-2026"/>
      <w:r>
        <w:t>Executive Summary — 19 June 2026</w:t>
      </w:r>
    </w:p>
    <w:p w14:paraId="7F4C15D0" w14:textId="77777777" w:rsidR="00C026BD" w:rsidRDefault="008D22AA">
      <w:pPr>
        <w:pStyle w:val="FirstParagraph"/>
      </w:pPr>
      <w:r>
        <w:rPr>
          <w:b/>
          <w:bCs/>
        </w:rPr>
        <w:t>Purpose.</w:t>
      </w:r>
      <w:r>
        <w:t xml:space="preserve"> </w:t>
      </w:r>
      <w:r>
        <w:t>Convert KOR’s existing relationships into qualified-supplier positions and active pursuits across the Lower Mainland, Vancouver Island, the Interior, and the US West Coast, and open two new fronts: modular / off-site construction and underserved structural niches.</w:t>
      </w:r>
    </w:p>
    <w:p w14:paraId="24EDDA2E" w14:textId="77777777" w:rsidR="00C026BD" w:rsidRDefault="008D22AA">
      <w:pPr>
        <w:pStyle w:val="Heading2"/>
      </w:pPr>
      <w:bookmarkStart w:id="2" w:name="strategic-priorities"/>
      <w:bookmarkEnd w:id="1"/>
      <w:r>
        <w:t>Strategic priorities</w:t>
      </w:r>
    </w:p>
    <w:p w14:paraId="53D7D5E0" w14:textId="77777777" w:rsidR="00C026BD" w:rsidRDefault="008D22AA">
      <w:pPr>
        <w:numPr>
          <w:ilvl w:val="0"/>
          <w:numId w:val="2"/>
        </w:numPr>
      </w:pPr>
      <w:r>
        <w:rPr>
          <w:b/>
          <w:bCs/>
        </w:rPr>
        <w:t>Secure positions on qualified-supplier lists</w:t>
      </w:r>
      <w:r>
        <w:t xml:space="preserve"> that carry recurring public structural workload:</w:t>
      </w:r>
    </w:p>
    <w:p w14:paraId="1A34D0F0" w14:textId="77777777" w:rsidR="00C026BD" w:rsidRDefault="008D22AA">
      <w:pPr>
        <w:pStyle w:val="Compact"/>
        <w:numPr>
          <w:ilvl w:val="1"/>
          <w:numId w:val="3"/>
        </w:numPr>
      </w:pPr>
      <w:r>
        <w:rPr>
          <w:b/>
          <w:bCs/>
        </w:rPr>
        <w:t>K-12 Seismic Mitigation Program (SMP)</w:t>
      </w:r>
      <w:r>
        <w:t xml:space="preserve"> — access to roughly 400 government seismic-retrofit projects; requires EGBC Seismic Retrofit Guidelines certification (JM to complete; Ian to confirm timing).</w:t>
      </w:r>
    </w:p>
    <w:p w14:paraId="77404380" w14:textId="77777777" w:rsidR="00C026BD" w:rsidRDefault="008D22AA">
      <w:pPr>
        <w:pStyle w:val="Compact"/>
        <w:numPr>
          <w:ilvl w:val="1"/>
          <w:numId w:val="3"/>
        </w:numPr>
      </w:pPr>
      <w:r>
        <w:rPr>
          <w:b/>
          <w:bCs/>
        </w:rPr>
        <w:t>Fraser Health, BC Ferries, TransLink</w:t>
      </w:r>
      <w:r>
        <w:t xml:space="preserve"> — annual or continuous public workloads (marine qualification to be confirmed for BC Ferries and TransLink).</w:t>
      </w:r>
    </w:p>
    <w:p w14:paraId="776A8E2B" w14:textId="77777777" w:rsidR="00C026BD" w:rsidRDefault="008D22AA">
      <w:pPr>
        <w:numPr>
          <w:ilvl w:val="0"/>
          <w:numId w:val="2"/>
        </w:numPr>
      </w:pPr>
      <w:r>
        <w:rPr>
          <w:b/>
          <w:bCs/>
        </w:rPr>
        <w:t>Win public and design-build work as the architect’s structural engineer.</w:t>
      </w:r>
      <w:r>
        <w:t xml:space="preserve"> On prime-team procurements KOR competes as the architect’s structural sub; the priority is therefore to join the architect’s team ahead of the RFP. Identify and target the key architects accordingly.</w:t>
      </w:r>
    </w:p>
    <w:p w14:paraId="4DDCED73" w14:textId="77777777" w:rsidR="00C026BD" w:rsidRDefault="008D22AA">
      <w:pPr>
        <w:numPr>
          <w:ilvl w:val="0"/>
          <w:numId w:val="2"/>
        </w:numPr>
      </w:pPr>
      <w:r>
        <w:rPr>
          <w:b/>
          <w:bCs/>
        </w:rPr>
        <w:t>Strengthen proposal leverage</w:t>
      </w:r>
      <w:r>
        <w:t xml:space="preserve"> — add an “additional services” appendix to Canadian proposals (crane footings, vault and core-hole review, seismic instrumentation, supplementary schedules) at pre-agreed fees, mirroring the US proposal format.</w:t>
      </w:r>
    </w:p>
    <w:p w14:paraId="2F8E28EC" w14:textId="77777777" w:rsidR="00C026BD" w:rsidRDefault="008D22AA">
      <w:pPr>
        <w:pStyle w:val="Heading2"/>
      </w:pPr>
      <w:bookmarkStart w:id="3" w:name="priority-pursuits"/>
      <w:bookmarkEnd w:id="2"/>
      <w:r>
        <w:t>Priority pursuits</w:t>
      </w:r>
    </w:p>
    <w:p w14:paraId="7BC4BEE5" w14:textId="77777777" w:rsidR="00C026BD" w:rsidRDefault="008D22AA">
      <w:pPr>
        <w:pStyle w:val="Compact"/>
        <w:numPr>
          <w:ilvl w:val="0"/>
          <w:numId w:val="4"/>
        </w:numPr>
      </w:pPr>
      <w:r>
        <w:rPr>
          <w:b/>
          <w:bCs/>
        </w:rPr>
        <w:t>Lower Mainland</w:t>
      </w:r>
      <w:r>
        <w:t xml:space="preserve"> — Pinnacle International (Michael De Cotiis), Onni Group, Bosa Development and Bosa Properties, RBI Group, Graham Construction (Richmond Hospital Phases 2–3), PCI Developments, Axiom Builders, Squamish Nation / Nch’</w:t>
      </w:r>
      <w:r>
        <w:t>ḵ</w:t>
      </w:r>
      <w:r>
        <w:t>ay̓ Development, M’akola Development Services, Mundi Hotel Enterprises.</w:t>
      </w:r>
    </w:p>
    <w:p w14:paraId="45DC5D3D" w14:textId="77777777" w:rsidR="00C026BD" w:rsidRDefault="008D22AA">
      <w:pPr>
        <w:pStyle w:val="Compact"/>
        <w:numPr>
          <w:ilvl w:val="0"/>
          <w:numId w:val="4"/>
        </w:numPr>
      </w:pPr>
      <w:r>
        <w:rPr>
          <w:b/>
          <w:bCs/>
        </w:rPr>
        <w:t>Vancouver Island</w:t>
      </w:r>
      <w:r>
        <w:t xml:space="preserve"> — Emerge Modular with Evantra Developments (modular pipeline), Yellowridge Construction (Defence Canada design-build bid), Merrick Architecture, The Lark Group (Kirk Fisher), Farmer Construction.</w:t>
      </w:r>
    </w:p>
    <w:p w14:paraId="31F1C55A" w14:textId="77777777" w:rsidR="00C026BD" w:rsidRDefault="008D22AA">
      <w:pPr>
        <w:pStyle w:val="Compact"/>
        <w:numPr>
          <w:ilvl w:val="0"/>
          <w:numId w:val="4"/>
        </w:numPr>
      </w:pPr>
      <w:r>
        <w:rPr>
          <w:b/>
          <w:bCs/>
        </w:rPr>
        <w:t>Interior / Okanagan</w:t>
      </w:r>
      <w:r>
        <w:t xml:space="preserve"> — Orchard Park Properties (Apriano Meola), supporting the Mundi and RBI rental pipeline.</w:t>
      </w:r>
    </w:p>
    <w:p w14:paraId="232CDF85" w14:textId="77777777" w:rsidR="00C026BD" w:rsidRDefault="008D22AA">
      <w:pPr>
        <w:pStyle w:val="Compact"/>
        <w:numPr>
          <w:ilvl w:val="0"/>
          <w:numId w:val="4"/>
        </w:numPr>
      </w:pPr>
      <w:r>
        <w:rPr>
          <w:b/>
          <w:bCs/>
        </w:rPr>
        <w:t>US / California</w:t>
      </w:r>
      <w:r>
        <w:t xml:space="preserve"> — Greystar and four further existing-relationship developers; a California qualified-leads report is in preparation.</w:t>
      </w:r>
    </w:p>
    <w:p w14:paraId="0B87B248" w14:textId="77777777" w:rsidR="00C026BD" w:rsidRDefault="008D22AA">
      <w:pPr>
        <w:pStyle w:val="Heading2"/>
      </w:pPr>
      <w:bookmarkStart w:id="4" w:name="growth-fronts"/>
      <w:bookmarkEnd w:id="3"/>
      <w:r>
        <w:lastRenderedPageBreak/>
        <w:t>Growth fronts</w:t>
      </w:r>
    </w:p>
    <w:p w14:paraId="6FCF3A23" w14:textId="77777777" w:rsidR="00C026BD" w:rsidRDefault="008D22AA">
      <w:pPr>
        <w:pStyle w:val="Compact"/>
        <w:numPr>
          <w:ilvl w:val="0"/>
          <w:numId w:val="5"/>
        </w:numPr>
      </w:pPr>
      <w:r>
        <w:rPr>
          <w:b/>
          <w:bCs/>
        </w:rPr>
        <w:t>Modular / off-site construction</w:t>
      </w:r>
      <w:r>
        <w:t xml:space="preserve"> — the Emerge–Evantra pipeline and Yellowridge’s Defence Canada design-build bid establish KOR in off-site delivery; the CMHC five-percent-down modular incentive is accelerating demand.</w:t>
      </w:r>
    </w:p>
    <w:p w14:paraId="7BF64394" w14:textId="77777777" w:rsidR="00C026BD" w:rsidRDefault="008D22AA">
      <w:pPr>
        <w:pStyle w:val="Compact"/>
        <w:numPr>
          <w:ilvl w:val="0"/>
          <w:numId w:val="5"/>
        </w:numPr>
      </w:pPr>
      <w:r>
        <w:rPr>
          <w:b/>
          <w:bCs/>
        </w:rPr>
        <w:t>Underserved structural niches</w:t>
      </w:r>
      <w:r>
        <w:t xml:space="preserve"> — light industrial and light-civil infrastructure; tenant-improvement, steel-stud and suspended-ceiling add-on engineering (high-margin and repeatable); water features and pools; utilities and telecom.</w:t>
      </w:r>
    </w:p>
    <w:p w14:paraId="318B7024" w14:textId="77777777" w:rsidR="00C026BD" w:rsidRDefault="008D22AA">
      <w:pPr>
        <w:pStyle w:val="Heading2"/>
      </w:pPr>
      <w:bookmarkStart w:id="5" w:name="brand-and-marketing"/>
      <w:bookmarkEnd w:id="4"/>
      <w:r>
        <w:t>Brand and marketing</w:t>
      </w:r>
    </w:p>
    <w:p w14:paraId="4D59D3CB" w14:textId="77777777" w:rsidR="00C026BD" w:rsidRDefault="008D22AA">
      <w:pPr>
        <w:pStyle w:val="Compact"/>
        <w:numPr>
          <w:ilvl w:val="0"/>
          <w:numId w:val="6"/>
        </w:numPr>
      </w:pPr>
      <w:r>
        <w:t>Establish a consistent LinkedIn and Instagram presence, resume developer and architect lunch-and-learns, and stand up a structured awards program.</w:t>
      </w:r>
    </w:p>
    <w:p w14:paraId="0A1EEDDD" w14:textId="77777777" w:rsidR="00C026BD" w:rsidRDefault="008D22AA">
      <w:pPr>
        <w:pStyle w:val="Compact"/>
        <w:numPr>
          <w:ilvl w:val="0"/>
          <w:numId w:val="6"/>
        </w:numPr>
      </w:pPr>
      <w:r>
        <w:t>Website overhaul — work- and region-led rather than people-led — for decision at the Monday partnership meeting.</w:t>
      </w:r>
    </w:p>
    <w:p w14:paraId="5F97E5F7" w14:textId="77777777" w:rsidR="00C026BD" w:rsidRDefault="008D22AA">
      <w:pPr>
        <w:pStyle w:val="Heading2"/>
      </w:pPr>
      <w:bookmarkStart w:id="6" w:name="deliverables"/>
      <w:bookmarkEnd w:id="5"/>
      <w:r>
        <w:t>Deliverables</w:t>
      </w:r>
    </w:p>
    <w:p w14:paraId="615E14C9" w14:textId="77777777" w:rsidR="00C026BD" w:rsidRDefault="008D22AA">
      <w:pPr>
        <w:pStyle w:val="Compact"/>
        <w:numPr>
          <w:ilvl w:val="0"/>
          <w:numId w:val="7"/>
        </w:numPr>
      </w:pPr>
      <w:r>
        <w:t>CRM pursuits loaded and assigned to owners, locked to prevent duplicate outreach.</w:t>
      </w:r>
    </w:p>
    <w:p w14:paraId="71505DF9" w14:textId="77777777" w:rsidR="00C026BD" w:rsidRDefault="008D22AA">
      <w:pPr>
        <w:pStyle w:val="Compact"/>
        <w:numPr>
          <w:ilvl w:val="0"/>
          <w:numId w:val="7"/>
        </w:numPr>
      </w:pPr>
      <w:r>
        <w:t>A pursuit action sheet organised into focused packages with assigned leads, by Tuesday.</w:t>
      </w:r>
      <w:bookmarkEnd w:id="0"/>
      <w:bookmarkEnd w:id="6"/>
    </w:p>
    <w:sectPr w:rsidR="00C026BD" w:rsidSect="007F411E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C02C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CC97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93C4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22269040">
    <w:abstractNumId w:val="0"/>
  </w:num>
  <w:num w:numId="2" w16cid:durableId="483399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4766213">
    <w:abstractNumId w:val="1"/>
  </w:num>
  <w:num w:numId="4" w16cid:durableId="65078479">
    <w:abstractNumId w:val="1"/>
  </w:num>
  <w:num w:numId="5" w16cid:durableId="2060321424">
    <w:abstractNumId w:val="1"/>
  </w:num>
  <w:num w:numId="6" w16cid:durableId="1274749991">
    <w:abstractNumId w:val="1"/>
  </w:num>
  <w:num w:numId="7" w16cid:durableId="921184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6BD"/>
    <w:rsid w:val="004D618A"/>
    <w:rsid w:val="007F411E"/>
    <w:rsid w:val="008D22AA"/>
    <w:rsid w:val="00C0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5B68"/>
  <w15:docId w15:val="{BB74EB5B-C399-4A0D-AF46-CDF57921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2026-06-22T16:36:00Z</dcterms:created>
  <dcterms:modified xsi:type="dcterms:W3CDTF">2026-06-22T16:36:00Z</dcterms:modified>
</cp:coreProperties>
</file>