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992638092"/>
        <w:docPartObj>
          <w:docPartGallery w:val="Table of Contents"/>
          <w:docPartUnique/>
        </w:docPartObj>
      </w:sdtPr>
      <w:sdtEndPr>
        <w:rPr>
          <w:rFonts w:ascii="Calibri" w:hAnsi="Calibri" w:cs="Calibri"/>
          <w:b w:val="0"/>
          <w:sz w:val="21"/>
        </w:rPr>
      </w:sdtEndPr>
      <w:sdtContent>
        <w:p w14:paraId="7D5D0AB7" w14:textId="77777777" w:rsidR="00D43960" w:rsidRDefault="00F74AFE" w:rsidP="007F62EA">
          <w:pPr>
            <w:pStyle w:val="TOCHeading"/>
            <w:pageBreakBefore/>
          </w:pPr>
          <w:r>
            <w:t>Table of Contents</w:t>
          </w:r>
        </w:p>
        <w:p w14:paraId="757106D0" w14:textId="77777777" w:rsidR="007F62EA" w:rsidRDefault="00F74AF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893811" w:history="1">
            <w:r w:rsidR="007F62EA" w:rsidRPr="00E436F4">
              <w:rPr>
                <w:rStyle w:val="Hyperlink"/>
                <w:noProof/>
              </w:rPr>
              <w:t>BC Design-Build Prequalification — What KOR Needs to Win Big-Fee Work</w:t>
            </w:r>
            <w:r w:rsidR="007F62EA">
              <w:rPr>
                <w:noProof/>
                <w:webHidden/>
              </w:rPr>
              <w:tab/>
            </w:r>
            <w:r w:rsidR="007F62EA">
              <w:rPr>
                <w:noProof/>
                <w:webHidden/>
              </w:rPr>
              <w:fldChar w:fldCharType="begin"/>
            </w:r>
            <w:r w:rsidR="007F62EA">
              <w:rPr>
                <w:noProof/>
                <w:webHidden/>
              </w:rPr>
              <w:instrText xml:space="preserve"> PAGEREF _Toc232893811 \h </w:instrText>
            </w:r>
            <w:r w:rsidR="007F62EA">
              <w:rPr>
                <w:noProof/>
                <w:webHidden/>
              </w:rPr>
            </w:r>
            <w:r w:rsidR="007F62EA">
              <w:rPr>
                <w:noProof/>
                <w:webHidden/>
              </w:rPr>
              <w:fldChar w:fldCharType="separate"/>
            </w:r>
            <w:r w:rsidR="007F62EA">
              <w:rPr>
                <w:noProof/>
                <w:webHidden/>
              </w:rPr>
              <w:t>1</w:t>
            </w:r>
            <w:r w:rsidR="007F62EA">
              <w:rPr>
                <w:noProof/>
                <w:webHidden/>
              </w:rPr>
              <w:fldChar w:fldCharType="end"/>
            </w:r>
          </w:hyperlink>
        </w:p>
        <w:p w14:paraId="0C1F4EFB" w14:textId="77777777" w:rsidR="007F62EA" w:rsidRDefault="007F62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12" w:history="1">
            <w:r w:rsidRPr="00E436F4">
              <w:rPr>
                <w:rStyle w:val="Hyperlink"/>
                <w:noProof/>
              </w:rPr>
              <w:t>The core reality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59893" w14:textId="77777777" w:rsidR="007F62EA" w:rsidRDefault="007F62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13" w:history="1">
            <w:r w:rsidRPr="00E436F4">
              <w:rPr>
                <w:rStyle w:val="Hyperlink"/>
                <w:noProof/>
              </w:rPr>
              <w:t>How BC major design-build is procured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B0B61" w14:textId="77777777" w:rsidR="007F62EA" w:rsidRDefault="007F62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14" w:history="1">
            <w:r w:rsidRPr="00E436F4">
              <w:rPr>
                <w:rStyle w:val="Hyperlink"/>
                <w:noProof/>
              </w:rPr>
              <w:t>Who the gatekeepers are — confirmed BC healthcare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0691F" w14:textId="77777777" w:rsidR="007F62EA" w:rsidRDefault="007F62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15" w:history="1">
            <w:r w:rsidRPr="00E436F4">
              <w:rPr>
                <w:rStyle w:val="Hyperlink"/>
                <w:noProof/>
              </w:rPr>
              <w:t>Qualification rosters — ranked for an SE subconsultant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D9EC7" w14:textId="77777777" w:rsidR="007F62EA" w:rsidRDefault="007F62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16" w:history="1">
            <w:r w:rsidRPr="00E436F4">
              <w:rPr>
                <w:rStyle w:val="Hyperlink"/>
                <w:noProof/>
              </w:rPr>
              <w:t>Does KOR need to register with Graham/PCL/EllisDon?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344D" w14:textId="77777777" w:rsidR="007F62EA" w:rsidRDefault="007F62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17" w:history="1">
            <w:r w:rsidRPr="00E436F4">
              <w:rPr>
                <w:rStyle w:val="Hyperlink"/>
                <w:noProof/>
              </w:rPr>
              <w:t>Can a ministry/client contact sponsor KOR in?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0390D" w14:textId="77777777" w:rsidR="007F62EA" w:rsidRDefault="007F62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18" w:history="1">
            <w:r w:rsidRPr="00E436F4">
              <w:rPr>
                <w:rStyle w:val="Hyperlink"/>
                <w:noProof/>
              </w:rPr>
              <w:t>Realistic path for a challenger 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81B7" w14:textId="77777777" w:rsidR="007F62EA" w:rsidRDefault="007F62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19" w:history="1">
            <w:r w:rsidRPr="00E436F4">
              <w:rPr>
                <w:rStyle w:val="Hyperlink"/>
                <w:noProof/>
              </w:rPr>
              <w:t>Concrete next steps (priority 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202BB" w14:textId="77777777" w:rsidR="007F62EA" w:rsidRDefault="007F62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20" w:history="1">
            <w:r w:rsidRPr="00E436F4">
              <w:rPr>
                <w:rStyle w:val="Hyperlink"/>
                <w:noProof/>
              </w:rPr>
              <w:t>Flags (unverified)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6AB7" w14:textId="77777777" w:rsidR="00D43960" w:rsidRDefault="00F74AFE">
          <w:r>
            <w:fldChar w:fldCharType="end"/>
          </w:r>
        </w:p>
      </w:sdtContent>
    </w:sdt>
    <w:p w14:paraId="170DE3D2" w14:textId="77777777" w:rsidR="00D43960" w:rsidRDefault="00F74AFE">
      <w:pPr>
        <w:pStyle w:val="Heading1"/>
      </w:pPr>
      <w:bookmarkStart w:id="0" w:name="X80fbf66ecc64ab760cdd2845015c09f47615060"/>
      <w:bookmarkStart w:id="1" w:name="_Toc232893811"/>
      <w:r>
        <w:t>BC Design-Build Prequalification — What KOR Needs to Win Big-Fee Work</w:t>
      </w:r>
      <w:bookmarkEnd w:id="1"/>
    </w:p>
    <w:p w14:paraId="0AE9B427" w14:textId="77777777" w:rsidR="00D43960" w:rsidRDefault="00F74AFE">
      <w:pPr>
        <w:pStyle w:val="FirstParagraph"/>
      </w:pPr>
      <w:r>
        <w:rPr>
          <w:b/>
          <w:bCs/>
        </w:rPr>
        <w:t>Prepared 2026-06-21</w:t>
      </w:r>
      <w:r>
        <w:t xml:space="preserve"> </w:t>
      </w:r>
      <w:r>
        <w:t>· answers the meeting actionable §1 #5 (raised by Rory): what lists/quals does KOR need to play on big-fee design-build, and can a contact sponsor us in? All claims web-sourced (URLs inline).</w:t>
      </w:r>
    </w:p>
    <w:p w14:paraId="42B0ECDF" w14:textId="77777777" w:rsidR="00D43960" w:rsidRDefault="00F74AFE" w:rsidP="007F62EA">
      <w:pPr>
        <w:pStyle w:val="Heading2"/>
        <w:pageBreakBefore/>
      </w:pPr>
      <w:bookmarkStart w:id="2" w:name="the-core-reality"/>
      <w:bookmarkStart w:id="3" w:name="_Toc232893812"/>
      <w:r>
        <w:t>The core reality</w:t>
      </w:r>
      <w:bookmarkEnd w:id="3"/>
    </w:p>
    <w:p w14:paraId="187C0367" w14:textId="77777777" w:rsidR="00D43960" w:rsidRDefault="00F74AFE">
      <w:pPr>
        <w:pStyle w:val="FirstParagraph"/>
      </w:pPr>
      <w:r>
        <w:t xml:space="preserve">KOR does </w:t>
      </w:r>
      <w:r>
        <w:rPr>
          <w:b/>
          <w:bCs/>
        </w:rPr>
        <w:t>not</w:t>
      </w:r>
      <w:r>
        <w:t xml:space="preserve"> need its own prequalification with Infrastructure BC or any crown body to play on $500M+ design-build. </w:t>
      </w:r>
      <w:r>
        <w:rPr>
          <w:b/>
          <w:bCs/>
        </w:rPr>
        <w:t>The SE rides the team</w:t>
      </w:r>
      <w:r>
        <w:t xml:space="preserve"> — the GC and lead architect are the named principals at shortlisting; the structural engineer is named/scored later in the RFP via key-personnel CVs. The whole game is </w:t>
      </w:r>
      <w:r>
        <w:rPr>
          <w:b/>
          <w:bCs/>
        </w:rPr>
        <w:t>being inside the right team before the RFQ drops.</w:t>
      </w:r>
      <w:r>
        <w:t xml:space="preserve"> This confirms KOR’s prime-consultant strategy: target the architects.</w:t>
      </w:r>
    </w:p>
    <w:p w14:paraId="689B3878" w14:textId="77777777" w:rsidR="00D43960" w:rsidRDefault="00F74AFE" w:rsidP="007F62EA">
      <w:pPr>
        <w:pStyle w:val="Heading2"/>
        <w:pageBreakBefore/>
      </w:pPr>
      <w:bookmarkStart w:id="4" w:name="how-bc-major-design-build-is-procured"/>
      <w:bookmarkStart w:id="5" w:name="_Toc232893813"/>
      <w:bookmarkEnd w:id="2"/>
      <w:r>
        <w:t>How BC major design-build is procured</w:t>
      </w:r>
      <w:bookmarkEnd w:id="5"/>
    </w:p>
    <w:p w14:paraId="25D23A53" w14:textId="77777777" w:rsidR="00D43960" w:rsidRDefault="00F74AFE">
      <w:pPr>
        <w:pStyle w:val="FirstParagraph"/>
      </w:pPr>
      <w:r>
        <w:rPr>
          <w:b/>
          <w:bCs/>
        </w:rPr>
        <w:t>Infrastructure BC</w:t>
      </w:r>
      <w:r>
        <w:t xml:space="preserve"> (ex-Partnerships BC) runs procurement for ministries/health authorities on capital projects &gt;~$50M. Sequence: </w:t>
      </w:r>
      <w:r>
        <w:rPr>
          <w:b/>
          <w:bCs/>
        </w:rPr>
        <w:t>RFQ</w:t>
      </w:r>
      <w:r>
        <w:t xml:space="preserve"> (GC + lead architect submit quals; ~3 teams shortlisted; SE not separately named) → </w:t>
      </w:r>
      <w:r>
        <w:rPr>
          <w:b/>
          <w:bCs/>
        </w:rPr>
        <w:t>RFP</w:t>
      </w:r>
      <w:r>
        <w:t xml:space="preserve"> (key personnel incl. SE named/scored) → award. </w:t>
      </w:r>
      <w:r>
        <w:rPr>
          <w:b/>
          <w:bCs/>
        </w:rPr>
        <w:t>Progressive Design-Build (PDB)</w:t>
      </w:r>
      <w:r>
        <w:t xml:space="preserve"> is the dominant model on current BC healthcare (Richmond Hospital Ph 2/3, Stuart Lake, Fort St. James); the </w:t>
      </w:r>
      <w:r>
        <w:rPr>
          <w:b/>
          <w:bCs/>
        </w:rPr>
        <w:t>Alliance</w:t>
      </w:r>
      <w:r>
        <w:t xml:space="preserve"> model (Burnaby Hospital Ph 2) is even more relationship-driven. </w:t>
      </w:r>
      <w:r>
        <w:rPr>
          <w:i/>
          <w:iCs/>
        </w:rPr>
        <w:t>(infrastructurebc.com)</w:t>
      </w:r>
    </w:p>
    <w:p w14:paraId="0D1436C1" w14:textId="77777777" w:rsidR="00D43960" w:rsidRDefault="00F74AFE" w:rsidP="007F62EA">
      <w:pPr>
        <w:pStyle w:val="Heading2"/>
        <w:pageBreakBefore/>
      </w:pPr>
      <w:bookmarkStart w:id="6" w:name="Xe57b7abbeee53d6dfc7a28ad3b7db2278da7e02"/>
      <w:bookmarkStart w:id="7" w:name="_Toc232893814"/>
      <w:bookmarkEnd w:id="4"/>
      <w:r>
        <w:t>Who the gatekeepers are — confirmed BC healthcare teams</w:t>
      </w:r>
      <w:bookmarkEnd w:id="7"/>
    </w:p>
    <w:tbl>
      <w:tblPr>
        <w:tblStyle w:val="GridTable5Dark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D43960" w:rsidRPr="007F62EA" w14:paraId="62DFC2A6" w14:textId="77777777" w:rsidTr="007F62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5B855138" w14:textId="77777777" w:rsidR="00D43960" w:rsidRPr="007F62EA" w:rsidRDefault="00F74AFE">
            <w:pPr>
              <w:pStyle w:val="Compact"/>
              <w:rPr>
                <w:b w:val="0"/>
                <w:sz w:val="19"/>
              </w:rPr>
            </w:pPr>
            <w:r w:rsidRPr="007F62EA">
              <w:rPr>
                <w:b w:val="0"/>
                <w:sz w:val="19"/>
              </w:rPr>
              <w:t>Project</w:t>
            </w:r>
          </w:p>
        </w:tc>
        <w:tc>
          <w:tcPr>
            <w:tcW w:w="1250" w:type="pct"/>
          </w:tcPr>
          <w:p w14:paraId="2489B9A5" w14:textId="77777777" w:rsidR="00D43960" w:rsidRPr="007F62EA" w:rsidRDefault="00F74AFE">
            <w:pPr>
              <w:pStyle w:val="Compact"/>
              <w:rPr>
                <w:b w:val="0"/>
                <w:sz w:val="19"/>
              </w:rPr>
            </w:pPr>
            <w:r w:rsidRPr="007F62EA">
              <w:rPr>
                <w:b w:val="0"/>
                <w:sz w:val="19"/>
              </w:rPr>
              <w:t>Design-Builder</w:t>
            </w:r>
          </w:p>
        </w:tc>
        <w:tc>
          <w:tcPr>
            <w:tcW w:w="1250" w:type="pct"/>
          </w:tcPr>
          <w:p w14:paraId="52A3C2C9" w14:textId="77777777" w:rsidR="00D43960" w:rsidRPr="007F62EA" w:rsidRDefault="00F74AFE">
            <w:pPr>
              <w:pStyle w:val="Compact"/>
              <w:rPr>
                <w:b w:val="0"/>
                <w:sz w:val="19"/>
              </w:rPr>
            </w:pPr>
            <w:r w:rsidRPr="007F62EA">
              <w:rPr>
                <w:b w:val="0"/>
                <w:sz w:val="19"/>
              </w:rPr>
              <w:t>Lead Architect</w:t>
            </w:r>
          </w:p>
        </w:tc>
        <w:tc>
          <w:tcPr>
            <w:tcW w:w="1250" w:type="pct"/>
          </w:tcPr>
          <w:p w14:paraId="6F747CAC" w14:textId="77777777" w:rsidR="00D43960" w:rsidRPr="007F62EA" w:rsidRDefault="00F74AFE">
            <w:pPr>
              <w:pStyle w:val="Compact"/>
              <w:rPr>
                <w:b w:val="0"/>
                <w:sz w:val="19"/>
              </w:rPr>
            </w:pPr>
            <w:r w:rsidRPr="007F62EA">
              <w:rPr>
                <w:b w:val="0"/>
                <w:sz w:val="19"/>
              </w:rPr>
              <w:t>SE</w:t>
            </w:r>
          </w:p>
        </w:tc>
      </w:tr>
      <w:tr w:rsidR="00D43960" w:rsidRPr="007F62EA" w14:paraId="2A102B56" w14:textId="77777777" w:rsidTr="007F6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3D3B575C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New St. Paul’s ($2.1B)</w:t>
            </w:r>
          </w:p>
        </w:tc>
        <w:tc>
          <w:tcPr>
            <w:tcW w:w="1250" w:type="pct"/>
          </w:tcPr>
          <w:p w14:paraId="28934455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PCL Westcoast</w:t>
            </w:r>
          </w:p>
        </w:tc>
        <w:tc>
          <w:tcPr>
            <w:tcW w:w="1250" w:type="pct"/>
          </w:tcPr>
          <w:p w14:paraId="34B1378A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HDR + Stantec</w:t>
            </w:r>
          </w:p>
        </w:tc>
        <w:tc>
          <w:tcPr>
            <w:tcW w:w="1250" w:type="pct"/>
          </w:tcPr>
          <w:p w14:paraId="0DAC67A0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b/>
                <w:bCs/>
                <w:sz w:val="19"/>
              </w:rPr>
              <w:t>RJC Engineers</w:t>
            </w:r>
          </w:p>
        </w:tc>
      </w:tr>
      <w:tr w:rsidR="00D43960" w:rsidRPr="007F62EA" w14:paraId="26DD2A43" w14:textId="77777777" w:rsidTr="007F62EA">
        <w:trPr>
          <w:cantSplit/>
        </w:trPr>
        <w:tc>
          <w:tcPr>
            <w:tcW w:w="1250" w:type="pct"/>
          </w:tcPr>
          <w:p w14:paraId="495B3D49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Richmond Hospital Ph 2 ($1.95B)</w:t>
            </w:r>
          </w:p>
        </w:tc>
        <w:tc>
          <w:tcPr>
            <w:tcW w:w="1250" w:type="pct"/>
          </w:tcPr>
          <w:p w14:paraId="4C4AF874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b/>
                <w:bCs/>
                <w:sz w:val="19"/>
              </w:rPr>
              <w:t>Graham</w:t>
            </w:r>
          </w:p>
        </w:tc>
        <w:tc>
          <w:tcPr>
            <w:tcW w:w="1250" w:type="pct"/>
          </w:tcPr>
          <w:p w14:paraId="732A594C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b/>
                <w:bCs/>
                <w:sz w:val="19"/>
              </w:rPr>
              <w:t>HDR</w:t>
            </w:r>
          </w:p>
        </w:tc>
        <w:tc>
          <w:tcPr>
            <w:tcW w:w="1250" w:type="pct"/>
          </w:tcPr>
          <w:p w14:paraId="3AB0ACAD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not disclosed</w:t>
            </w:r>
          </w:p>
        </w:tc>
      </w:tr>
      <w:tr w:rsidR="00D43960" w:rsidRPr="007F62EA" w14:paraId="26987E43" w14:textId="77777777" w:rsidTr="007F6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DAB15C6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New Surrey Hospital ($2.88B)</w:t>
            </w:r>
          </w:p>
        </w:tc>
        <w:tc>
          <w:tcPr>
            <w:tcW w:w="1250" w:type="pct"/>
          </w:tcPr>
          <w:p w14:paraId="776F00B4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EllisDon</w:t>
            </w:r>
          </w:p>
        </w:tc>
        <w:tc>
          <w:tcPr>
            <w:tcW w:w="1250" w:type="pct"/>
          </w:tcPr>
          <w:p w14:paraId="787AE6EF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Parkin + ZGF</w:t>
            </w:r>
          </w:p>
        </w:tc>
        <w:tc>
          <w:tcPr>
            <w:tcW w:w="1250" w:type="pct"/>
          </w:tcPr>
          <w:p w14:paraId="1DFA4E3F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not disclosed</w:t>
            </w:r>
          </w:p>
        </w:tc>
      </w:tr>
      <w:tr w:rsidR="00D43960" w:rsidRPr="007F62EA" w14:paraId="0F5D203E" w14:textId="77777777" w:rsidTr="007F62EA">
        <w:trPr>
          <w:cantSplit/>
        </w:trPr>
        <w:tc>
          <w:tcPr>
            <w:tcW w:w="1250" w:type="pct"/>
          </w:tcPr>
          <w:p w14:paraId="43308CBB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Burnaby Hospital Ph 2</w:t>
            </w:r>
          </w:p>
        </w:tc>
        <w:tc>
          <w:tcPr>
            <w:tcW w:w="1250" w:type="pct"/>
          </w:tcPr>
          <w:p w14:paraId="3893CB35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PCL Westcoast</w:t>
            </w:r>
          </w:p>
        </w:tc>
        <w:tc>
          <w:tcPr>
            <w:tcW w:w="1250" w:type="pct"/>
          </w:tcPr>
          <w:p w14:paraId="18E791F7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Parkin</w:t>
            </w:r>
          </w:p>
        </w:tc>
        <w:tc>
          <w:tcPr>
            <w:tcW w:w="1250" w:type="pct"/>
          </w:tcPr>
          <w:p w14:paraId="06D75ED1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not disclosed</w:t>
            </w:r>
          </w:p>
        </w:tc>
      </w:tr>
      <w:tr w:rsidR="00D43960" w:rsidRPr="007F62EA" w14:paraId="096C4E9A" w14:textId="77777777" w:rsidTr="007F6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2AA935D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Royal Columbian Ph 2</w:t>
            </w:r>
          </w:p>
        </w:tc>
        <w:tc>
          <w:tcPr>
            <w:tcW w:w="1250" w:type="pct"/>
          </w:tcPr>
          <w:p w14:paraId="64E40A09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EllisDon</w:t>
            </w:r>
          </w:p>
        </w:tc>
        <w:tc>
          <w:tcPr>
            <w:tcW w:w="1250" w:type="pct"/>
          </w:tcPr>
          <w:p w14:paraId="1B61DE68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Parkin + HDR + Arcadis-IBI</w:t>
            </w:r>
          </w:p>
        </w:tc>
        <w:tc>
          <w:tcPr>
            <w:tcW w:w="1250" w:type="pct"/>
          </w:tcPr>
          <w:p w14:paraId="149DEBD0" w14:textId="77777777" w:rsidR="00D43960" w:rsidRPr="007F62EA" w:rsidRDefault="00F74AFE">
            <w:pPr>
              <w:pStyle w:val="Compact"/>
              <w:rPr>
                <w:sz w:val="19"/>
              </w:rPr>
            </w:pPr>
            <w:r w:rsidRPr="007F62EA">
              <w:rPr>
                <w:sz w:val="19"/>
              </w:rPr>
              <w:t>not disclosed</w:t>
            </w:r>
          </w:p>
        </w:tc>
      </w:tr>
    </w:tbl>
    <w:p w14:paraId="1B101ABA" w14:textId="77777777" w:rsidR="00D43960" w:rsidRDefault="00F74AFE">
      <w:pPr>
        <w:pStyle w:val="BodyText"/>
      </w:pPr>
      <w:r>
        <w:rPr>
          <w:b/>
          <w:bCs/>
        </w:rPr>
        <w:t>Pattern:</w:t>
      </w:r>
      <w:r>
        <w:t xml:space="preserve"> three architects — </w:t>
      </w:r>
      <w:r>
        <w:rPr>
          <w:b/>
          <w:bCs/>
        </w:rPr>
        <w:t>Parkin Architects Western</w:t>
      </w:r>
      <w:r>
        <w:t xml:space="preserve">, </w:t>
      </w:r>
      <w:r>
        <w:rPr>
          <w:b/>
          <w:bCs/>
        </w:rPr>
        <w:t>HDR Architecture (Vancouver)</w:t>
      </w:r>
      <w:r>
        <w:t xml:space="preserve">, </w:t>
      </w:r>
      <w:r>
        <w:rPr>
          <w:b/>
          <w:bCs/>
        </w:rPr>
        <w:t>ZGF</w:t>
      </w:r>
      <w:r>
        <w:t xml:space="preserve"> </w:t>
      </w:r>
      <w:r>
        <w:t xml:space="preserve">— recur on nearly every major BC healthcare design-build. PCL &amp; EllisDon dominate as GCs; </w:t>
      </w:r>
      <w:r>
        <w:rPr>
          <w:b/>
          <w:bCs/>
        </w:rPr>
        <w:t>Graham is the third, consistently paired with HDR</w:t>
      </w:r>
      <w:r>
        <w:t xml:space="preserve">. </w:t>
      </w:r>
      <w:r>
        <w:rPr>
          <w:b/>
          <w:bCs/>
        </w:rPr>
        <w:t>RJC is the incumbent SE to displace.</w:t>
      </w:r>
    </w:p>
    <w:p w14:paraId="53DE0E90" w14:textId="77777777" w:rsidR="00D43960" w:rsidRDefault="00F74AFE" w:rsidP="007F62EA">
      <w:pPr>
        <w:pStyle w:val="Heading2"/>
        <w:pageBreakBefore/>
      </w:pPr>
      <w:bookmarkStart w:id="8" w:name="X310002534d29e542514528b8e4e4dd1086b6aca"/>
      <w:bookmarkStart w:id="9" w:name="_Toc232893815"/>
      <w:bookmarkEnd w:id="6"/>
      <w:r>
        <w:t>Qualification rosters — ranked for an SE subconsultant</w:t>
      </w:r>
      <w:bookmarkEnd w:id="9"/>
    </w:p>
    <w:p w14:paraId="08E17E9C" w14:textId="77777777" w:rsidR="00D43960" w:rsidRDefault="00F74AFE">
      <w:pPr>
        <w:pStyle w:val="FirstParagraph"/>
      </w:pPr>
      <w:r>
        <w:rPr>
          <w:b/>
          <w:bCs/>
        </w:rPr>
        <w:t>Tier 1 (high, actionable now)</w:t>
      </w:r>
    </w:p>
    <w:p w14:paraId="4DC2E769" w14:textId="77777777" w:rsidR="00D43960" w:rsidRDefault="00F74AFE">
      <w:pPr>
        <w:pStyle w:val="Compact"/>
        <w:numPr>
          <w:ilvl w:val="0"/>
          <w:numId w:val="2"/>
        </w:numPr>
      </w:pPr>
      <w:r>
        <w:rPr>
          <w:b/>
          <w:bCs/>
        </w:rPr>
        <w:t>PHSA Annual Notice of Intent (NOI)</w:t>
      </w:r>
      <w:r>
        <w:t xml:space="preserve"> — PHSA Supply Chain runs prequalified design-consultant lists for </w:t>
      </w:r>
      <w:r>
        <w:rPr>
          <w:b/>
          <w:bCs/>
        </w:rPr>
        <w:t>all 5 BC health authorities</w:t>
      </w:r>
      <w:r>
        <w:t xml:space="preserve">. Once/year it posts an NOI on BC Bid. </w:t>
      </w:r>
      <w:r>
        <w:rPr>
          <w:b/>
          <w:bCs/>
        </w:rPr>
        <w:t>Single highest-leverage registration.</w:t>
      </w:r>
      <w:r>
        <w:t xml:space="preserve"> Monitor BC Bid year-round; apply the moment it posts.</w:t>
      </w:r>
    </w:p>
    <w:p w14:paraId="49347E96" w14:textId="77777777" w:rsidR="00D43960" w:rsidRDefault="00F74AFE">
      <w:pPr>
        <w:pStyle w:val="Compact"/>
        <w:numPr>
          <w:ilvl w:val="0"/>
          <w:numId w:val="2"/>
        </w:numPr>
      </w:pPr>
      <w:r>
        <w:rPr>
          <w:b/>
          <w:bCs/>
        </w:rPr>
        <w:t>Fraser Health Prequalified Engineers List</w:t>
      </w:r>
      <w:r>
        <w:t xml:space="preserve"> — mandatory for acute-care capital &gt;$5M; refreshed via BC Bid/Bonfire. </w:t>
      </w:r>
      <w:r>
        <w:rPr>
          <w:b/>
          <w:bCs/>
        </w:rPr>
        <w:t>Action: email FMP@fraserhealth.ca</w:t>
      </w:r>
      <w:r>
        <w:t xml:space="preserve"> </w:t>
      </w:r>
      <w:r>
        <w:t>about current roster + refresh cycle + how to apply; register on Bonfire.</w:t>
      </w:r>
    </w:p>
    <w:p w14:paraId="7DE9195B" w14:textId="77777777" w:rsidR="00D43960" w:rsidRDefault="00F74AFE">
      <w:pPr>
        <w:pStyle w:val="Compact"/>
        <w:numPr>
          <w:ilvl w:val="0"/>
          <w:numId w:val="2"/>
        </w:numPr>
      </w:pPr>
      <w:r>
        <w:rPr>
          <w:b/>
          <w:bCs/>
        </w:rPr>
        <w:t>BC Bid keyword alerts</w:t>
      </w:r>
      <w:r>
        <w:t xml:space="preserve"> — school districts &amp; municipalities issue 3-year structural RFPQ rosters constantly (e.g., SD38 Richmond, seismic-heavy, 5 firms, $100K–$50M). Each win is a reference multiplier. Set alerts: “structural engineering RFPQ,” “seismic assessment prequalification,” “structural engineer qualified supplier.”</w:t>
      </w:r>
    </w:p>
    <w:p w14:paraId="727EA23B" w14:textId="77777777" w:rsidR="00D43960" w:rsidRDefault="00F74AFE">
      <w:pPr>
        <w:pStyle w:val="FirstParagraph"/>
      </w:pPr>
      <w:r>
        <w:rPr>
          <w:b/>
          <w:bCs/>
        </w:rPr>
        <w:t>Tier 2 (moderate):</w:t>
      </w:r>
      <w:r>
        <w:t xml:space="preserve"> MOTI issues project-specific RFQs (no Ontario-style central registry); Infrastructure BC MULRFQs are advisory-only (not SE). </w:t>
      </w:r>
      <w:r>
        <w:rPr>
          <w:b/>
          <w:bCs/>
        </w:rPr>
        <w:t>Tier 3 (low/NA):</w:t>
      </w:r>
      <w:r>
        <w:t xml:space="preserve"> BC Housing (no SE prequal), BC Ferries (naval/mech/elec only — not building structural), TransLink (no standing SE roster).</w:t>
      </w:r>
    </w:p>
    <w:p w14:paraId="7F229A1B" w14:textId="77777777" w:rsidR="00D43960" w:rsidRDefault="00F74AFE" w:rsidP="007F62EA">
      <w:pPr>
        <w:pStyle w:val="Heading2"/>
        <w:pageBreakBefore/>
      </w:pPr>
      <w:bookmarkStart w:id="10" w:name="X1bf2f2c6b2f757aae52159ef491ac87bf15f4d2"/>
      <w:bookmarkStart w:id="11" w:name="_Toc232893816"/>
      <w:bookmarkEnd w:id="8"/>
      <w:r>
        <w:t>Does KOR need to register with Graham/PCL/EllisDon?</w:t>
      </w:r>
      <w:bookmarkEnd w:id="11"/>
    </w:p>
    <w:p w14:paraId="6D7EF491" w14:textId="77777777" w:rsidR="00D43960" w:rsidRDefault="00F74AFE">
      <w:pPr>
        <w:pStyle w:val="FirstParagraph"/>
      </w:pPr>
      <w:r>
        <w:rPr>
          <w:b/>
          <w:bCs/>
        </w:rPr>
        <w:t>No formal GC SE panels exist.</w:t>
      </w:r>
      <w:r>
        <w:t xml:space="preserve"> SE selection sits with the </w:t>
      </w:r>
      <w:r>
        <w:rPr>
          <w:b/>
          <w:bCs/>
        </w:rPr>
        <w:t>lead architect</w:t>
      </w:r>
      <w:r>
        <w:t xml:space="preserve">, not the GC. The path onto Graham’s Richmond Hospital team was </w:t>
      </w:r>
      <w:r>
        <w:rPr>
          <w:b/>
          <w:bCs/>
        </w:rPr>
        <w:t>through HDR</w:t>
      </w:r>
      <w:r>
        <w:t>, not Graham’s procurement office. Cold-approaching a GC for an “SE panel” isn’t a real mechanism.</w:t>
      </w:r>
    </w:p>
    <w:p w14:paraId="3A795B22" w14:textId="77777777" w:rsidR="00D43960" w:rsidRDefault="00F74AFE" w:rsidP="007F62EA">
      <w:pPr>
        <w:pStyle w:val="Heading2"/>
        <w:pageBreakBefore/>
      </w:pPr>
      <w:bookmarkStart w:id="12" w:name="X6e2a1134f28ba7265776cf0694db38ebb98c7be"/>
      <w:bookmarkStart w:id="13" w:name="_Toc232893817"/>
      <w:bookmarkEnd w:id="10"/>
      <w:r>
        <w:t>Can a ministry/client contact sponsor KOR in?</w:t>
      </w:r>
      <w:bookmarkEnd w:id="13"/>
    </w:p>
    <w:p w14:paraId="5CA9F5F3" w14:textId="77777777" w:rsidR="00D43960" w:rsidRDefault="00F74AFE">
      <w:pPr>
        <w:pStyle w:val="FirstParagraph"/>
      </w:pPr>
      <w:r>
        <w:rPr>
          <w:b/>
          <w:bCs/>
        </w:rPr>
        <w:t>Informal influence, not a formal bypass.</w:t>
      </w:r>
      <w:r>
        <w:t xml:space="preserve"> A program manager can’t unilaterally add a firm mid-cycle, but a warm health-authority capital-projects relationship gives </w:t>
      </w:r>
      <w:r>
        <w:rPr>
          <w:b/>
          <w:bCs/>
        </w:rPr>
        <w:t>early warning</w:t>
      </w:r>
      <w:r>
        <w:t xml:space="preserve"> (when to apply) and </w:t>
      </w:r>
      <w:r>
        <w:rPr>
          <w:b/>
          <w:bCs/>
        </w:rPr>
        <w:t>scoring influence</w:t>
      </w:r>
      <w:r>
        <w:t xml:space="preserve"> on the evaluation panel. Worth cultivating; not an access shortcut.</w:t>
      </w:r>
    </w:p>
    <w:p w14:paraId="7F4D59DE" w14:textId="77777777" w:rsidR="00D43960" w:rsidRDefault="00F74AFE" w:rsidP="007F62EA">
      <w:pPr>
        <w:pStyle w:val="Heading2"/>
        <w:pageBreakBefore/>
      </w:pPr>
      <w:bookmarkStart w:id="14" w:name="realistic-path-for-a-challenger-se"/>
      <w:bookmarkStart w:id="15" w:name="_Toc232893818"/>
      <w:bookmarkEnd w:id="12"/>
      <w:r>
        <w:t>Realistic path for a challenger SE</w:t>
      </w:r>
      <w:bookmarkEnd w:id="15"/>
    </w:p>
    <w:p w14:paraId="557D9DBF" w14:textId="77777777" w:rsidR="00D43960" w:rsidRDefault="00F74AFE">
      <w:pPr>
        <w:pStyle w:val="FirstParagraph"/>
      </w:pPr>
      <w:r>
        <w:t xml:space="preserve">Fraser Health / PHSA list → reference projects on $5M–$50M health work → principal-level intros to </w:t>
      </w:r>
      <w:r>
        <w:rPr>
          <w:b/>
          <w:bCs/>
        </w:rPr>
        <w:t>Parkin / HDR / ZGF</w:t>
      </w:r>
      <w:r>
        <w:t xml:space="preserve"> → ride onto a PDB RFP team → win a mid-scale PDB in </w:t>
      </w:r>
      <w:r>
        <w:rPr>
          <w:b/>
          <w:bCs/>
        </w:rPr>
        <w:t>Interior/Northern Health</w:t>
      </w:r>
      <w:r>
        <w:t xml:space="preserve"> (lower competition) → named reference → eligible for Metro Van $500M+ teams. RJC’s dominance took 20+ years; the door is mid-scale PDB in the regions.</w:t>
      </w:r>
    </w:p>
    <w:p w14:paraId="4F198B37" w14:textId="77777777" w:rsidR="00D43960" w:rsidRDefault="00F74AFE" w:rsidP="007F62EA">
      <w:pPr>
        <w:pStyle w:val="Heading2"/>
        <w:pageBreakBefore/>
      </w:pPr>
      <w:bookmarkStart w:id="16" w:name="concrete-next-steps-priority-order"/>
      <w:bookmarkStart w:id="17" w:name="_Toc232893819"/>
      <w:bookmarkEnd w:id="14"/>
      <w:r>
        <w:t>Concrete next steps (priority order)</w:t>
      </w:r>
      <w:bookmarkEnd w:id="17"/>
    </w:p>
    <w:p w14:paraId="21FEAD3A" w14:textId="77777777" w:rsidR="00D43960" w:rsidRDefault="00F74AFE">
      <w:pPr>
        <w:pStyle w:val="Compact"/>
        <w:numPr>
          <w:ilvl w:val="0"/>
          <w:numId w:val="3"/>
        </w:numPr>
      </w:pPr>
      <w:r>
        <w:rPr>
          <w:b/>
          <w:bCs/>
        </w:rPr>
        <w:t>PHSA NOI</w:t>
      </w:r>
      <w:r>
        <w:t xml:space="preserve"> — set a BC Bid alert (“PHSA” / “Notice of Intent” / “design consultant”); apply on drop (unlocks all 5 health authorities).</w:t>
      </w:r>
    </w:p>
    <w:p w14:paraId="4248414B" w14:textId="77777777" w:rsidR="00D43960" w:rsidRDefault="00F74AFE">
      <w:pPr>
        <w:pStyle w:val="Compact"/>
        <w:numPr>
          <w:ilvl w:val="0"/>
          <w:numId w:val="3"/>
        </w:numPr>
      </w:pPr>
      <w:r>
        <w:rPr>
          <w:b/>
          <w:bCs/>
        </w:rPr>
        <w:t>Fraser Health</w:t>
      </w:r>
      <w:r>
        <w:t xml:space="preserve"> — email </w:t>
      </w:r>
      <w:r>
        <w:rPr>
          <w:b/>
          <w:bCs/>
        </w:rPr>
        <w:t>FMP@fraserhealth.ca</w:t>
      </w:r>
      <w:r>
        <w:t xml:space="preserve"> this week (roster open? next refresh? process?); register on Bonfire.</w:t>
      </w:r>
    </w:p>
    <w:p w14:paraId="68FDAF10" w14:textId="77777777" w:rsidR="00D43960" w:rsidRDefault="00F74AFE">
      <w:pPr>
        <w:pStyle w:val="Compact"/>
        <w:numPr>
          <w:ilvl w:val="0"/>
          <w:numId w:val="3"/>
        </w:numPr>
      </w:pPr>
      <w:r>
        <w:rPr>
          <w:b/>
          <w:bCs/>
        </w:rPr>
        <w:t>BC Bid keyword alerts</w:t>
      </w:r>
      <w:r>
        <w:t xml:space="preserve"> — structural RFPQ / seismic prequal (winnable now; builds the reference library).</w:t>
      </w:r>
    </w:p>
    <w:p w14:paraId="6731EA54" w14:textId="77777777" w:rsidR="00D43960" w:rsidRDefault="00F74AFE">
      <w:pPr>
        <w:pStyle w:val="Compact"/>
        <w:numPr>
          <w:ilvl w:val="0"/>
          <w:numId w:val="3"/>
        </w:numPr>
      </w:pPr>
      <w:r>
        <w:rPr>
          <w:b/>
          <w:bCs/>
        </w:rPr>
        <w:t>Target Parkin Architects Western (Vancouver)</w:t>
      </w:r>
      <w:r>
        <w:t xml:space="preserve"> — principal-level intro; they’re on EllisDon’s Surrey, Burnaby Ph 2, Royal Columbian teams.</w:t>
      </w:r>
    </w:p>
    <w:p w14:paraId="00F7797A" w14:textId="77777777" w:rsidR="00D43960" w:rsidRDefault="00F74AFE">
      <w:pPr>
        <w:pStyle w:val="Compact"/>
        <w:numPr>
          <w:ilvl w:val="0"/>
          <w:numId w:val="3"/>
        </w:numPr>
      </w:pPr>
      <w:r>
        <w:rPr>
          <w:b/>
          <w:bCs/>
        </w:rPr>
        <w:t>Target HDR Architecture Vancouver</w:t>
      </w:r>
      <w:r>
        <w:t xml:space="preserve"> — Graham’s consistent healthcare architect (Richmond, Stuart Lake).</w:t>
      </w:r>
    </w:p>
    <w:p w14:paraId="30FBF272" w14:textId="77777777" w:rsidR="00D43960" w:rsidRDefault="00F74AFE">
      <w:pPr>
        <w:pStyle w:val="Compact"/>
        <w:numPr>
          <w:ilvl w:val="0"/>
          <w:numId w:val="3"/>
        </w:numPr>
      </w:pPr>
      <w:r>
        <w:rPr>
          <w:b/>
          <w:bCs/>
        </w:rPr>
        <w:t>Graham BC pipeline</w:t>
      </w:r>
      <w:r>
        <w:t xml:space="preserve"> — Northern Health (Fort St. James, Stuart Lake) is mid-scale PDB where KOR can compete now; watch Graham announcements + the Infrastructure BC project pipeline.</w:t>
      </w:r>
    </w:p>
    <w:p w14:paraId="4C90D0F0" w14:textId="77777777" w:rsidR="00D43960" w:rsidRDefault="00F74AFE" w:rsidP="007F62EA">
      <w:pPr>
        <w:pStyle w:val="Heading2"/>
        <w:pageBreakBefore/>
      </w:pPr>
      <w:bookmarkStart w:id="18" w:name="flags-unverified"/>
      <w:bookmarkStart w:id="19" w:name="_Toc232893820"/>
      <w:bookmarkEnd w:id="16"/>
      <w:r>
        <w:t>Flags (unverified)</w:t>
      </w:r>
      <w:bookmarkEnd w:id="19"/>
    </w:p>
    <w:p w14:paraId="6AAC5E24" w14:textId="77777777" w:rsidR="00D43960" w:rsidRDefault="00F74AFE">
      <w:pPr>
        <w:pStyle w:val="FirstParagraph"/>
      </w:pPr>
      <w:r>
        <w:t>SE firms on Richmond/Burnaby Ph2/Surrey/Royal Columbian not publicly disclosed (likely NDA). Fraser Health current roster not machine-readable (2021 PDF confirmed to exist). PHSA NOI month not pinned — monitor year-round. Whether GCs keep informal SE lists — unknown (a KOR contact inside Graham/PCL/EllisDon would resolve). Interior/Northern Health separate prequal — worth a direct call to IH Capital Projects.</w:t>
      </w:r>
    </w:p>
    <w:p w14:paraId="71A4703B" w14:textId="77777777" w:rsidR="00D43960" w:rsidRDefault="00F74AFE">
      <w:r>
        <w:pict w14:anchorId="5C46BDF3">
          <v:rect id="_x0000_i1025" style="width:0;height:1.5pt" o:hralign="center" o:hrstd="t" o:hr="t"/>
        </w:pict>
      </w:r>
    </w:p>
    <w:p w14:paraId="4C726984" w14:textId="77777777" w:rsidR="00D43960" w:rsidRDefault="00F74AFE">
      <w:pPr>
        <w:pStyle w:val="FirstParagraph"/>
      </w:pPr>
      <w:r>
        <w:rPr>
          <w:i/>
          <w:iCs/>
        </w:rPr>
        <w:t>Sources: Infrastructure BC, PHSA Supply Chain, Fraser Health business-opportunities, BC Bid/CanadaBuys, Graham/PCL/EllisDon &amp; Fraser Health announcements, Colliers PDB primer. 2026-06-21.</w:t>
      </w:r>
      <w:bookmarkEnd w:id="0"/>
      <w:bookmarkEnd w:id="18"/>
    </w:p>
    <w:sectPr w:rsidR="00D439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5831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02FA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D600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052259">
    <w:abstractNumId w:val="0"/>
  </w:num>
  <w:num w:numId="2" w16cid:durableId="1794711779">
    <w:abstractNumId w:val="1"/>
  </w:num>
  <w:num w:numId="3" w16cid:durableId="1474828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960"/>
    <w:rsid w:val="007F62EA"/>
    <w:rsid w:val="00D43960"/>
    <w:rsid w:val="00EF11A9"/>
    <w:rsid w:val="00F7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020A"/>
  <w15:docId w15:val="{EB31E526-F3B2-4702-896F-A0EE2779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F62E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F62EA"/>
    <w:pPr>
      <w:spacing w:after="100"/>
      <w:ind w:left="240"/>
    </w:pPr>
  </w:style>
  <w:style w:type="table" w:styleId="GridTable5Dark-Accent1">
    <w:name w:val="Grid Table 5 Dark Accent 1"/>
    <w:basedOn w:val="TableNormal"/>
    <w:uiPriority w:val="50"/>
    <w:rsid w:val="007F62E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2026-06-21T07:23:00Z</dcterms:created>
  <dcterms:modified xsi:type="dcterms:W3CDTF">2026-06-21T07:23:00Z</dcterms:modified>
</cp:coreProperties>
</file>