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33387" w14:textId="77777777" w:rsidR="00220DAA" w:rsidRDefault="002C4FA5">
      <w:pPr>
        <w:pStyle w:val="Heading1"/>
      </w:pPr>
      <w:bookmarkStart w:id="0" w:name="bc-health-capital-the-named-seat-map"/>
      <w:r>
        <w:t>BC Health Capital — The Named-Seat Map</w:t>
      </w:r>
    </w:p>
    <w:p w14:paraId="621C9D01" w14:textId="77777777" w:rsidR="00220DAA" w:rsidRDefault="002C4FA5">
      <w:pPr>
        <w:pStyle w:val="Heading2"/>
      </w:pPr>
      <w:bookmarkStart w:id="1" w:name="X053c9ab2c664657deecbbdbe0d1c8aaaa33b6a1"/>
      <w:r>
        <w:t>Where the next structural engineering seats on BC health projects will actually be decided, and how</w:t>
      </w:r>
    </w:p>
    <w:p w14:paraId="7EC01CD4" w14:textId="77777777" w:rsidR="00220DAA" w:rsidRDefault="002C4FA5">
      <w:pPr>
        <w:pStyle w:val="FirstParagraph"/>
      </w:pPr>
      <w:r>
        <w:rPr>
          <w:b/>
          <w:bCs/>
        </w:rPr>
        <w:t>KOR Structural · 2026-07-01 · ~55 projects mapped across all six health authorities + Providence; every claim primary-sourced and independently fact-checked; conflicts and unknowns stated, not smoothed</w:t>
      </w:r>
    </w:p>
    <w:p w14:paraId="2B1EFFAE" w14:textId="77777777" w:rsidR="00220DAA" w:rsidRDefault="002C4FA5">
      <w:pPr>
        <w:pStyle w:val="BodyText"/>
      </w:pPr>
      <w:r>
        <w:t xml:space="preserve">Companion to </w:t>
      </w:r>
      <w:r>
        <w:rPr>
          <w:i/>
          <w:iCs/>
        </w:rPr>
        <w:t>The Structural Seat</w:t>
      </w:r>
      <w:r>
        <w:t xml:space="preserve"> playbook (Channel 5). Claims are </w:t>
      </w:r>
      <w:r>
        <w:rPr>
          <w:b/>
          <w:bCs/>
        </w:rPr>
        <w:t>[V]</w:t>
      </w:r>
      <w:r>
        <w:t xml:space="preserve"> verified / </w:t>
      </w:r>
      <w:r>
        <w:rPr>
          <w:b/>
          <w:bCs/>
        </w:rPr>
        <w:t>[I]</w:t>
      </w:r>
      <w:r>
        <w:t xml:space="preserve"> inferred / </w:t>
      </w:r>
      <w:r>
        <w:rPr>
          <w:b/>
          <w:bCs/>
        </w:rPr>
        <w:t>UNVERIFIED</w:t>
      </w:r>
      <w:r>
        <w:t xml:space="preserve"> where stated.</w:t>
      </w:r>
    </w:p>
    <w:p w14:paraId="5F438A0E" w14:textId="77777777" w:rsidR="00220DAA" w:rsidRDefault="002C4FA5">
      <w:r>
        <w:pict w14:anchorId="37E6A48F">
          <v:rect id="_x0000_i1025" style="width:0;height:1.5pt" o:hralign="center" o:hrstd="t" o:hr="t"/>
        </w:pict>
      </w:r>
    </w:p>
    <w:p w14:paraId="3D141EBE" w14:textId="77777777" w:rsidR="00220DAA" w:rsidRDefault="002C4FA5">
      <w:pPr>
        <w:pStyle w:val="Heading2"/>
      </w:pPr>
      <w:bookmarkStart w:id="2" w:name="executive-summary"/>
      <w:bookmarkEnd w:id="1"/>
      <w:r>
        <w:t>1. Executive summary</w:t>
      </w:r>
    </w:p>
    <w:p w14:paraId="47EC28D4" w14:textId="77777777" w:rsidR="00220DAA" w:rsidRDefault="002C4FA5">
      <w:pPr>
        <w:pStyle w:val="Compact"/>
        <w:numPr>
          <w:ilvl w:val="0"/>
          <w:numId w:val="2"/>
        </w:numPr>
      </w:pPr>
      <w:r>
        <w:rPr>
          <w:b/>
          <w:bCs/>
        </w:rPr>
        <w:t>The market is real but newly volatile.</w:t>
      </w:r>
      <w:r>
        <w:t xml:space="preserve"> BC Budget 2026 (Feb 17) cut the health capital plan </w:t>
      </w:r>
      <w:r>
        <w:rPr>
          <w:b/>
          <w:bCs/>
        </w:rPr>
        <w:t>$15.4B → $11.1B</w:t>
      </w:r>
      <w:r>
        <w:t xml:space="preserve">: Burnaby Ph2 ($1.7–1.8B) “re-paced,” the Squamish/West Van LTC RFP re-paced, and </w:t>
      </w:r>
      <w:r>
        <w:rPr>
          <w:b/>
          <w:bCs/>
        </w:rPr>
        <w:t>three Fraser Valley LTC design contracts cancelled outright (Apr 2026)</w:t>
      </w:r>
      <w:r>
        <w:t>. Funding gates now matter as much as procurement gates — every target below carries both. [V]</w:t>
      </w:r>
    </w:p>
    <w:p w14:paraId="49E723A2" w14:textId="77777777" w:rsidR="00220DAA" w:rsidRDefault="002C4FA5">
      <w:pPr>
        <w:pStyle w:val="Compact"/>
        <w:numPr>
          <w:ilvl w:val="0"/>
          <w:numId w:val="2"/>
        </w:numPr>
      </w:pPr>
      <w:r>
        <w:rPr>
          <w:b/>
          <w:bCs/>
        </w:rPr>
        <w:t>How the seat is won depends on the delivery model, and we verified the mechanics:</w:t>
      </w:r>
      <w:r>
        <w:t xml:space="preserve"> on </w:t>
      </w:r>
      <w:r>
        <w:rPr>
          <w:b/>
          <w:bCs/>
        </w:rPr>
        <w:t>Alliance and Design-Build</w:t>
      </w:r>
      <w:r>
        <w:t xml:space="preserve"> </w:t>
      </w:r>
      <w:r>
        <w:t xml:space="preserve">work (the big hospitals), Infrastructure BC procures a </w:t>
      </w:r>
      <w:r>
        <w:rPr>
          <w:i/>
          <w:iCs/>
        </w:rPr>
        <w:t>pre-assembled team</w:t>
      </w:r>
      <w:r>
        <w:t xml:space="preserve"> — the structural engineer joins a </w:t>
      </w:r>
      <w:r>
        <w:rPr>
          <w:b/>
          <w:bCs/>
        </w:rPr>
        <w:t>GC/architect pursuit team before the RFQ closes</w:t>
      </w:r>
      <w:r>
        <w:t xml:space="preserve">; the health authority never hires the SE directly. On </w:t>
      </w:r>
      <w:r>
        <w:rPr>
          <w:b/>
          <w:bCs/>
        </w:rPr>
        <w:t>Construction-Management</w:t>
      </w:r>
      <w:r>
        <w:t xml:space="preserve"> work, the </w:t>
      </w:r>
      <w:r>
        <w:rPr>
          <w:b/>
          <w:bCs/>
        </w:rPr>
        <w:t>owner procures the design team directly</w:t>
      </w:r>
      <w:r>
        <w:t xml:space="preserve"> — the only true direct-to-owner channel. On </w:t>
      </w:r>
      <w:r>
        <w:rPr>
          <w:b/>
          <w:bCs/>
        </w:rPr>
        <w:t>Foundation-led private</w:t>
      </w:r>
      <w:r>
        <w:t xml:space="preserve"> projects (VGH+), the architect/Foundation picks. [V 0.8–0.85]</w:t>
      </w:r>
    </w:p>
    <w:p w14:paraId="434ED6CB" w14:textId="77777777" w:rsidR="00220DAA" w:rsidRDefault="002C4FA5">
      <w:pPr>
        <w:pStyle w:val="Compact"/>
        <w:numPr>
          <w:ilvl w:val="0"/>
          <w:numId w:val="2"/>
        </w:numPr>
      </w:pPr>
      <w:r>
        <w:rPr>
          <w:b/>
          <w:bCs/>
        </w:rPr>
        <w:t>The incumbency is a two-horse race:</w:t>
      </w:r>
      <w:r>
        <w:t xml:space="preserve"> </w:t>
      </w:r>
      <w:r>
        <w:rPr>
          <w:b/>
          <w:bCs/>
        </w:rPr>
        <w:t>Glotman Simpson</w:t>
      </w:r>
      <w:r>
        <w:t xml:space="preserve"> </w:t>
      </w:r>
      <w:r>
        <w:t xml:space="preserve">(~10 documented BC health structural seats, incl. the new Kamloops Cancer Centre) and </w:t>
      </w:r>
      <w:r>
        <w:rPr>
          <w:b/>
          <w:bCs/>
        </w:rPr>
        <w:t>Bush Bohlman</w:t>
      </w:r>
      <w:r>
        <w:t xml:space="preserve"> (the two largest single builds — Cowichan/Quw’utsun ~$1.5B and Surrey Memorial CCT — plus RCH Ph2), with RJC third (+ New St. Paul’s shared with MKA). Common misattributions we killed: Entuitive’s BC hospital roles are </w:t>
      </w:r>
      <w:r>
        <w:rPr>
          <w:b/>
          <w:bCs/>
        </w:rPr>
        <w:t>envelope-only</w:t>
      </w:r>
      <w:r>
        <w:t xml:space="preserve">; WSP holds </w:t>
      </w:r>
      <w:r>
        <w:rPr>
          <w:b/>
          <w:bCs/>
        </w:rPr>
        <w:t>no</w:t>
      </w:r>
      <w:r>
        <w:t xml:space="preserve"> BC health structural-EOR credit; BC Cancer North was </w:t>
      </w:r>
      <w:r>
        <w:rPr>
          <w:b/>
          <w:bCs/>
        </w:rPr>
        <w:t>RJC, not Fast+Epp</w:t>
      </w:r>
      <w:r>
        <w:t>. [V]</w:t>
      </w:r>
    </w:p>
    <w:p w14:paraId="4292F486" w14:textId="77777777" w:rsidR="00220DAA" w:rsidRDefault="002C4FA5">
      <w:pPr>
        <w:pStyle w:val="Compact"/>
        <w:numPr>
          <w:ilvl w:val="0"/>
          <w:numId w:val="2"/>
        </w:numPr>
      </w:pPr>
      <w:r>
        <w:rPr>
          <w:b/>
          <w:bCs/>
        </w:rPr>
        <w:t>Three seats are decidable in the next ~6 months</w:t>
      </w:r>
      <w:r>
        <w:t xml:space="preserve"> </w:t>
      </w:r>
      <w:r>
        <w:t xml:space="preserve">(Section 3), five more inside 6–24 months — and the premier future gate is </w:t>
      </w:r>
      <w:r>
        <w:rPr>
          <w:b/>
          <w:bCs/>
        </w:rPr>
        <w:t>NRGH Nanaimo (design-team RFP likely 2027–28)</w:t>
      </w:r>
      <w:r>
        <w:t>, on Island geography where the Lower-Mainland incumbents have no local presence.</w:t>
      </w:r>
    </w:p>
    <w:p w14:paraId="1ABB9D29" w14:textId="77777777" w:rsidR="00220DAA" w:rsidRDefault="002C4FA5">
      <w:pPr>
        <w:pStyle w:val="Compact"/>
        <w:numPr>
          <w:ilvl w:val="0"/>
          <w:numId w:val="2"/>
        </w:numPr>
      </w:pPr>
      <w:r>
        <w:rPr>
          <w:b/>
          <w:bCs/>
        </w:rPr>
        <w:t>KOR’s wedge is geographic + seismic:</w:t>
      </w:r>
      <w:r>
        <w:t xml:space="preserve"> 3 of the 5 biggest upcoming projects sit in </w:t>
      </w:r>
      <w:r>
        <w:rPr>
          <w:b/>
          <w:bCs/>
        </w:rPr>
        <w:t>high-seismic Metro Vancouver</w:t>
      </w:r>
      <w:r>
        <w:t xml:space="preserve"> </w:t>
      </w:r>
      <w:r>
        <w:t xml:space="preserve">(VGH campus, VGH+, Burnaby Ph2; Richmond adds liquefaction), and the Island/North pipeline (NRGH, Port Hardy, Kitimat) sits </w:t>
      </w:r>
      <w:r>
        <w:lastRenderedPageBreak/>
        <w:t>where Glotman/Bush Bohlman have no offices. Post-disaster hospital structural is KOR’s core claim — aimed at the right subset.</w:t>
      </w:r>
    </w:p>
    <w:p w14:paraId="2A88F7A0" w14:textId="77777777" w:rsidR="00220DAA" w:rsidRDefault="002C4FA5">
      <w:pPr>
        <w:pStyle w:val="Heading2"/>
      </w:pPr>
      <w:bookmarkStart w:id="3" w:name="X90acc2dfa901efe4c63f7765bd3b4765f17bb05"/>
      <w:bookmarkEnd w:id="2"/>
      <w:r>
        <w:t>2. Who picks the structural engineer, by delivery model [V]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088"/>
        <w:gridCol w:w="2088"/>
        <w:gridCol w:w="2088"/>
        <w:gridCol w:w="2088"/>
        <w:gridCol w:w="2088"/>
      </w:tblGrid>
      <w:tr w:rsidR="00220DAA" w:rsidRPr="00FF4170" w14:paraId="1FBC2866" w14:textId="77777777" w:rsidTr="00FF41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00" w:type="pct"/>
          </w:tcPr>
          <w:p w14:paraId="639084C6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Model</w:t>
            </w:r>
          </w:p>
        </w:tc>
        <w:tc>
          <w:tcPr>
            <w:tcW w:w="1000" w:type="pct"/>
          </w:tcPr>
          <w:p w14:paraId="3A427CFE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Who assembles the SE seat</w:t>
            </w:r>
          </w:p>
        </w:tc>
        <w:tc>
          <w:tcPr>
            <w:tcW w:w="1000" w:type="pct"/>
          </w:tcPr>
          <w:p w14:paraId="23C1E6AE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When</w:t>
            </w:r>
          </w:p>
        </w:tc>
        <w:tc>
          <w:tcPr>
            <w:tcW w:w="1000" w:type="pct"/>
          </w:tcPr>
          <w:p w14:paraId="60BB62D9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Verified examples</w:t>
            </w:r>
          </w:p>
        </w:tc>
        <w:tc>
          <w:tcPr>
            <w:tcW w:w="1000" w:type="pct"/>
          </w:tcPr>
          <w:p w14:paraId="0FCBFD2C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KOR’s route</w:t>
            </w:r>
          </w:p>
        </w:tc>
      </w:tr>
      <w:tr w:rsidR="00220DAA" w:rsidRPr="00FF4170" w14:paraId="11152EFB" w14:textId="77777777" w:rsidTr="00FF4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1066995D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b/>
                <w:bCs/>
                <w:sz w:val="17"/>
              </w:rPr>
              <w:t>Alliance (single-TOC)</w:t>
            </w:r>
          </w:p>
        </w:tc>
        <w:tc>
          <w:tcPr>
            <w:tcW w:w="1000" w:type="pct"/>
          </w:tcPr>
          <w:p w14:paraId="4B164320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GC-led pursuit team, bundled at RFQ</w:t>
            </w:r>
          </w:p>
        </w:tc>
        <w:tc>
          <w:tcPr>
            <w:tcW w:w="1000" w:type="pct"/>
          </w:tcPr>
          <w:p w14:paraId="301A0143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Pre-RFQ team formation</w:t>
            </w:r>
          </w:p>
        </w:tc>
        <w:tc>
          <w:tcPr>
            <w:tcW w:w="1000" w:type="pct"/>
          </w:tcPr>
          <w:p w14:paraId="70AF2A9F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 xml:space="preserve">Richmond (Graham+HDR), Burnaby Ph2 (PCL+Parkin ADA), UHNBC (EllisDon+DIALOG — SE still unnamed), Cowichan (EllisDon+Parkin → </w:t>
            </w:r>
            <w:r w:rsidRPr="00FF4170">
              <w:rPr>
                <w:b/>
                <w:bCs/>
                <w:sz w:val="17"/>
              </w:rPr>
              <w:t>Bush Bohlman as design-team sub</w:t>
            </w:r>
            <w:r w:rsidRPr="00FF4170">
              <w:rPr>
                <w:sz w:val="17"/>
              </w:rPr>
              <w:t>)</w:t>
            </w:r>
          </w:p>
        </w:tc>
        <w:tc>
          <w:tcPr>
            <w:tcW w:w="1000" w:type="pct"/>
          </w:tcPr>
          <w:p w14:paraId="0B031A50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 xml:space="preserve">Be the SE on a GC/architect pursuit team </w:t>
            </w:r>
            <w:r w:rsidRPr="00FF4170">
              <w:rPr>
                <w:b/>
                <w:bCs/>
                <w:sz w:val="17"/>
              </w:rPr>
              <w:t>before</w:t>
            </w:r>
            <w:r w:rsidRPr="00FF4170">
              <w:rPr>
                <w:sz w:val="17"/>
              </w:rPr>
              <w:t xml:space="preserve"> the RFQ</w:t>
            </w:r>
          </w:p>
        </w:tc>
      </w:tr>
      <w:tr w:rsidR="00220DAA" w:rsidRPr="00FF4170" w14:paraId="3F667191" w14:textId="77777777" w:rsidTr="00FF4170">
        <w:trPr>
          <w:cantSplit/>
        </w:trPr>
        <w:tc>
          <w:tcPr>
            <w:tcW w:w="1000" w:type="pct"/>
          </w:tcPr>
          <w:p w14:paraId="74B80455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b/>
                <w:bCs/>
                <w:sz w:val="17"/>
              </w:rPr>
              <w:t>Design-Build</w:t>
            </w:r>
          </w:p>
        </w:tc>
        <w:tc>
          <w:tcPr>
            <w:tcW w:w="1000" w:type="pct"/>
          </w:tcPr>
          <w:p w14:paraId="528B3713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DB team at bid</w:t>
            </w:r>
          </w:p>
        </w:tc>
        <w:tc>
          <w:tcPr>
            <w:tcW w:w="1000" w:type="pct"/>
          </w:tcPr>
          <w:p w14:paraId="41CCBA08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Bid formation</w:t>
            </w:r>
          </w:p>
        </w:tc>
        <w:tc>
          <w:tcPr>
            <w:tcW w:w="1000" w:type="pct"/>
          </w:tcPr>
          <w:p w14:paraId="66098E7C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New Surrey (EllisDon+ZGF/Parkin — SE undisclosed), New St. Paul’s (PCL+HDR/Stantec → RJC+MKA), BCCH-CHC (Ledcor+Diamond Schmitt → Fast+Epp), EKRH Cranbrook (award ~mid-2026)</w:t>
            </w:r>
          </w:p>
        </w:tc>
        <w:tc>
          <w:tcPr>
            <w:tcW w:w="1000" w:type="pct"/>
          </w:tcPr>
          <w:p w14:paraId="17AC1320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Same — GC teaming, plus architecture-only architects</w:t>
            </w:r>
          </w:p>
        </w:tc>
      </w:tr>
      <w:tr w:rsidR="00220DAA" w:rsidRPr="00FF4170" w14:paraId="62B0F86A" w14:textId="77777777" w:rsidTr="00FF4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581F9154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b/>
                <w:bCs/>
                <w:sz w:val="17"/>
              </w:rPr>
              <w:t>Construction Management</w:t>
            </w:r>
          </w:p>
        </w:tc>
        <w:tc>
          <w:tcPr>
            <w:tcW w:w="1000" w:type="pct"/>
          </w:tcPr>
          <w:p w14:paraId="4E17328F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b/>
                <w:bCs/>
                <w:sz w:val="17"/>
              </w:rPr>
              <w:t>The owner, directly</w:t>
            </w:r>
          </w:p>
        </w:tc>
        <w:tc>
          <w:tcPr>
            <w:tcW w:w="1000" w:type="pct"/>
          </w:tcPr>
          <w:p w14:paraId="6AFB7921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Owner’s design procurement</w:t>
            </w:r>
          </w:p>
        </w:tc>
        <w:tc>
          <w:tcPr>
            <w:tcW w:w="1000" w:type="pct"/>
          </w:tcPr>
          <w:p w14:paraId="4C62D761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CSRC ($790M, PHC), St. Vincent’s Heather (PHC/Providence Living), RCH Ph3 (FH)</w:t>
            </w:r>
          </w:p>
        </w:tc>
        <w:tc>
          <w:tcPr>
            <w:tcW w:w="1000" w:type="pct"/>
          </w:tcPr>
          <w:p w14:paraId="06ED8FC4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The direct channel — owner relationships (PHC, FH)</w:t>
            </w:r>
          </w:p>
        </w:tc>
      </w:tr>
      <w:tr w:rsidR="00220DAA" w:rsidRPr="00FF4170" w14:paraId="25C71AE7" w14:textId="77777777" w:rsidTr="00FF4170">
        <w:trPr>
          <w:cantSplit/>
        </w:trPr>
        <w:tc>
          <w:tcPr>
            <w:tcW w:w="1000" w:type="pct"/>
          </w:tcPr>
          <w:p w14:paraId="3A36ECC6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b/>
                <w:bCs/>
                <w:sz w:val="17"/>
              </w:rPr>
              <w:lastRenderedPageBreak/>
              <w:t>Foundation-led private</w:t>
            </w:r>
          </w:p>
        </w:tc>
        <w:tc>
          <w:tcPr>
            <w:tcW w:w="1000" w:type="pct"/>
          </w:tcPr>
          <w:p w14:paraId="682641D7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The Foundation + its architect</w:t>
            </w:r>
          </w:p>
        </w:tc>
        <w:tc>
          <w:tcPr>
            <w:tcW w:w="1000" w:type="pct"/>
          </w:tcPr>
          <w:p w14:paraId="1EB8D41C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Consultant build-out</w:t>
            </w:r>
          </w:p>
        </w:tc>
        <w:tc>
          <w:tcPr>
            <w:tcW w:w="1000" w:type="pct"/>
          </w:tcPr>
          <w:p w14:paraId="33AE0B71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 xml:space="preserve">VGH+ towers (VGH &amp; UBC Hospital Foundation + MCM — </w:t>
            </w:r>
            <w:r w:rsidRPr="00FF4170">
              <w:rPr>
                <w:b/>
                <w:bCs/>
                <w:sz w:val="17"/>
              </w:rPr>
              <w:t>SE open</w:t>
            </w:r>
            <w:r w:rsidRPr="00FF4170">
              <w:rPr>
                <w:sz w:val="17"/>
              </w:rPr>
              <w:t>)</w:t>
            </w:r>
          </w:p>
        </w:tc>
        <w:tc>
          <w:tcPr>
            <w:tcW w:w="1000" w:type="pct"/>
          </w:tcPr>
          <w:p w14:paraId="36F9BCA7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Relationship sale to MCM/the Foundation — no IBC process</w:t>
            </w:r>
          </w:p>
        </w:tc>
      </w:tr>
      <w:tr w:rsidR="00220DAA" w:rsidRPr="00FF4170" w14:paraId="6BED9CA4" w14:textId="77777777" w:rsidTr="00FF41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625FC74A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b/>
                <w:bCs/>
                <w:sz w:val="17"/>
              </w:rPr>
              <w:t>Alliance cadence</w:t>
            </w:r>
          </w:p>
        </w:tc>
        <w:tc>
          <w:tcPr>
            <w:tcW w:w="1000" w:type="pct"/>
          </w:tcPr>
          <w:p w14:paraId="0F6D44A4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 xml:space="preserve">Infrastructure BC runs </w:t>
            </w:r>
            <w:r w:rsidRPr="00FF4170">
              <w:rPr>
                <w:b/>
                <w:bCs/>
                <w:sz w:val="17"/>
              </w:rPr>
              <w:t>1–2 health team-RFQs/year</w:t>
            </w:r>
            <w:r w:rsidRPr="00FF4170">
              <w:rPr>
                <w:sz w:val="17"/>
              </w:rPr>
              <w:t>; the model is institutionalized (4 health alliances since 2020)</w:t>
            </w:r>
          </w:p>
        </w:tc>
        <w:tc>
          <w:tcPr>
            <w:tcW w:w="1000" w:type="pct"/>
          </w:tcPr>
          <w:p w14:paraId="6DEF0A7D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—</w:t>
            </w:r>
          </w:p>
        </w:tc>
        <w:tc>
          <w:tcPr>
            <w:tcW w:w="1000" w:type="pct"/>
          </w:tcPr>
          <w:p w14:paraId="06723F1F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—</w:t>
            </w:r>
          </w:p>
        </w:tc>
        <w:tc>
          <w:tcPr>
            <w:tcW w:w="1000" w:type="pct"/>
          </w:tcPr>
          <w:p w14:paraId="67EC3657" w14:textId="77777777" w:rsidR="00220DAA" w:rsidRPr="00FF4170" w:rsidRDefault="002C4FA5">
            <w:pPr>
              <w:pStyle w:val="Compact"/>
              <w:rPr>
                <w:sz w:val="17"/>
              </w:rPr>
            </w:pPr>
            <w:r w:rsidRPr="00FF4170">
              <w:rPr>
                <w:sz w:val="17"/>
              </w:rPr>
              <w:t>A repeatable annual rhythm, not a one-off [V 0.8]</w:t>
            </w:r>
          </w:p>
        </w:tc>
      </w:tr>
    </w:tbl>
    <w:p w14:paraId="159F3525" w14:textId="77777777" w:rsidR="00220DAA" w:rsidRDefault="002C4FA5">
      <w:pPr>
        <w:pStyle w:val="BodyText"/>
      </w:pPr>
      <w:r>
        <w:rPr>
          <w:b/>
          <w:bCs/>
        </w:rPr>
        <w:t>Watch mechanics:</w:t>
      </w:r>
      <w:r>
        <w:t xml:space="preserve"> Infrastructure BC’s Active Procurement board had </w:t>
      </w:r>
      <w:r>
        <w:rPr>
          <w:b/>
          <w:bCs/>
        </w:rPr>
        <w:t>no open health RFQ/RFP on 2026-07-01</w:t>
      </w:r>
      <w:r>
        <w:t xml:space="preserve"> [V]; BC Bid is not machine-readable — the Squamish/West Van RFP release is the first expected gate. Manual BC Bid checks remain a standing gap.</w:t>
      </w:r>
    </w:p>
    <w:p w14:paraId="17C67FC5" w14:textId="77777777" w:rsidR="00220DAA" w:rsidRDefault="002C4FA5">
      <w:pPr>
        <w:pStyle w:val="Heading2"/>
      </w:pPr>
      <w:bookmarkStart w:id="4" w:name="Xfef318cdc0fb0c92146e30e85302a06e6a1fb8a"/>
      <w:bookmarkEnd w:id="3"/>
      <w:r>
        <w:t>3. The target list — ranked by when the seat is decided</w:t>
      </w:r>
    </w:p>
    <w:p w14:paraId="35206C4D" w14:textId="77777777" w:rsidR="00220DAA" w:rsidRDefault="002C4FA5">
      <w:pPr>
        <w:pStyle w:val="Heading3"/>
      </w:pPr>
      <w:bookmarkStart w:id="5" w:name="decidable-now-06-months"/>
      <w:r>
        <w:t>Decidable NOW (0–6 months)</w:t>
      </w:r>
    </w:p>
    <w:p w14:paraId="37E7A79B" w14:textId="77777777" w:rsidR="00220DAA" w:rsidRDefault="002C4FA5">
      <w:pPr>
        <w:pStyle w:val="Compact"/>
        <w:numPr>
          <w:ilvl w:val="0"/>
          <w:numId w:val="3"/>
        </w:numPr>
      </w:pPr>
      <w:r>
        <w:rPr>
          <w:b/>
          <w:bCs/>
        </w:rPr>
        <w:t>EKRH Cranbrook — Oncology &amp; Renal expansion</w:t>
      </w:r>
      <w:r>
        <w:t xml:space="preserve"> </w:t>
      </w:r>
      <w:r>
        <w:t xml:space="preserve">(Interior Health; value conflict: $58.9M per news release vs $104.7M per IH’s list — flagged). </w:t>
      </w:r>
      <w:r>
        <w:rPr>
          <w:b/>
          <w:bCs/>
        </w:rPr>
        <w:t>DB team award “~mid-2026” — i.e., being decided right now or just decided.</w:t>
      </w:r>
      <w:r>
        <w:t xml:space="preserve"> Time-critical: verify the award status </w:t>
      </w:r>
      <w:r>
        <w:rPr>
          <w:i/>
          <w:iCs/>
        </w:rPr>
        <w:t>this week</w:t>
      </w:r>
      <w:r>
        <w:t xml:space="preserve"> (MERX/IH); if unawarded, the seat is inside the competing DB teams; if awarded, capture the winner as incumbent intel. [V 0.75]</w:t>
      </w:r>
    </w:p>
    <w:p w14:paraId="4D15B2C9" w14:textId="77777777" w:rsidR="00220DAA" w:rsidRDefault="002C4FA5">
      <w:pPr>
        <w:pStyle w:val="Compact"/>
        <w:numPr>
          <w:ilvl w:val="0"/>
          <w:numId w:val="3"/>
        </w:numPr>
      </w:pPr>
      <w:r>
        <w:rPr>
          <w:b/>
          <w:bCs/>
        </w:rPr>
        <w:t>Squamish + West Vancouver LTC bundle</w:t>
      </w:r>
      <w:r>
        <w:t xml:space="preserve"> ($286M+ combined, VCH/IBC). RFQ closed Oct 2025 (≤6 teams shortlisted); RFP </w:t>
      </w:r>
      <w:r>
        <w:rPr>
          <w:b/>
          <w:bCs/>
        </w:rPr>
        <w:t>re-paced</w:t>
      </w:r>
      <w:r>
        <w:t xml:space="preserve"> </w:t>
      </w:r>
      <w:r>
        <w:t xml:space="preserve">by Budget 2026 and not yet issued — the one genuinely pre-decision competitive gate in this window. The SE seats live </w:t>
      </w:r>
      <w:r>
        <w:rPr>
          <w:i/>
          <w:iCs/>
        </w:rPr>
        <w:t>inside the shortlisted proponent teams</w:t>
      </w:r>
      <w:r>
        <w:t>; if any team’s SE slot is uncommitted, this is the most imminent seat. Watch IBC for the RFP release. [V 0.8]</w:t>
      </w:r>
    </w:p>
    <w:p w14:paraId="54789BD0" w14:textId="77777777" w:rsidR="00220DAA" w:rsidRDefault="002C4FA5">
      <w:pPr>
        <w:pStyle w:val="FirstParagraph"/>
      </w:pPr>
      <w:r>
        <w:rPr>
          <w:i/>
          <w:iCs/>
        </w:rPr>
        <w:t>Reclassified out of this list — the “construction imminent = already designed” rule:</w:t>
      </w:r>
      <w:r>
        <w:t xml:space="preserve"> </w:t>
      </w:r>
      <w:r>
        <w:rPr>
          <w:b/>
          <w:bCs/>
        </w:rPr>
        <w:t>Port Hardy Hospital</w:t>
      </w:r>
      <w:r>
        <w:t xml:space="preserve"> </w:t>
      </w:r>
      <w:r>
        <w:t xml:space="preserve">($45M, construction summer 2026). A building starting construction now was structurally designed long ago — the design team certainly exists; it just isn’t publicly named. This is </w:t>
      </w:r>
      <w:r>
        <w:rPr>
          <w:b/>
          <w:bCs/>
        </w:rPr>
        <w:t>incumbent-intel only</w:t>
      </w:r>
      <w:r>
        <w:t xml:space="preserve"> (one manual BC Bid check identifies who holds it), </w:t>
      </w:r>
      <w:r>
        <w:rPr>
          <w:b/>
          <w:bCs/>
        </w:rPr>
        <w:t>not a pursuit</w:t>
      </w:r>
      <w:r>
        <w:t>. It stays on the map as background and as a data point for the Island SE landscape. ### Near-term (6–18 months)</w:t>
      </w:r>
    </w:p>
    <w:p w14:paraId="31FE6FC0" w14:textId="77777777" w:rsidR="00220DAA" w:rsidRDefault="002C4FA5">
      <w:pPr>
        <w:numPr>
          <w:ilvl w:val="0"/>
          <w:numId w:val="4"/>
        </w:numPr>
      </w:pPr>
      <w:r>
        <w:rPr>
          <w:b/>
          <w:bCs/>
        </w:rPr>
        <w:lastRenderedPageBreak/>
        <w:t>VGH+ — 900/990 W 12th</w:t>
      </w:r>
      <w:r>
        <w:t xml:space="preserve"> (~$400M Ph1; Foundation-led; </w:t>
      </w:r>
      <w:r>
        <w:rPr>
          <w:b/>
          <w:bCs/>
        </w:rPr>
        <w:t>MCM architect named, SE open</w:t>
      </w:r>
      <w:r>
        <w:t xml:space="preserve">; demolition ~mid-2027 ⇒ consultant build-out inside 6–18 months, </w:t>
      </w:r>
      <w:r>
        <w:rPr>
          <w:b/>
          <w:bCs/>
        </w:rPr>
        <w:t>picked by MCM/Foundation directly</w:t>
      </w:r>
      <w:r>
        <w:t xml:space="preserve"> — no IBC gate). High-seismic site. The single cleanest direct-relationship target on the list. [V/I 0.6]</w:t>
      </w:r>
    </w:p>
    <w:p w14:paraId="0911F5E4" w14:textId="77777777" w:rsidR="00220DAA" w:rsidRDefault="002C4FA5">
      <w:pPr>
        <w:numPr>
          <w:ilvl w:val="0"/>
          <w:numId w:val="4"/>
        </w:numPr>
      </w:pPr>
      <w:r>
        <w:rPr>
          <w:b/>
          <w:bCs/>
        </w:rPr>
        <w:t>Vernon Jubilee — psychiatric inpatient unit</w:t>
      </w:r>
      <w:r>
        <w:t xml:space="preserve"> ($110–140M, Interior Health; concept-plan stage, original 2026 construction has slipped; architect and SE both open; business-plan → RFQ is the gate). [V 0.6]</w:t>
      </w:r>
    </w:p>
    <w:p w14:paraId="1112D6D7" w14:textId="77777777" w:rsidR="00220DAA" w:rsidRDefault="002C4FA5">
      <w:pPr>
        <w:numPr>
          <w:ilvl w:val="0"/>
          <w:numId w:val="4"/>
        </w:numPr>
      </w:pPr>
      <w:r>
        <w:rPr>
          <w:b/>
          <w:bCs/>
        </w:rPr>
        <w:t>VGH Campus Ph1–2 acute building</w:t>
      </w:r>
      <w:r>
        <w:t xml:space="preserve"> (VCH; interim rezoning before Council </w:t>
      </w:r>
      <w:r>
        <w:rPr>
          <w:b/>
          <w:bCs/>
        </w:rPr>
        <w:t>Summer 2026</w:t>
      </w:r>
      <w:r>
        <w:t>; Kasian holds the master plan only — the Ph1–2 building design team is unprocured, likely an IBC team-RFQ within 12–24 months). [I 0.6]</w:t>
      </w:r>
    </w:p>
    <w:p w14:paraId="1AC8B3A0" w14:textId="77777777" w:rsidR="00220DAA" w:rsidRDefault="002C4FA5">
      <w:pPr>
        <w:numPr>
          <w:ilvl w:val="0"/>
          <w:numId w:val="4"/>
        </w:numPr>
      </w:pPr>
      <w:r>
        <w:rPr>
          <w:b/>
          <w:bCs/>
        </w:rPr>
        <w:t>UHNBC Acute Care Tower</w:t>
      </w:r>
      <w:r>
        <w:t xml:space="preserve"> ($1.579B→$1.68B, Northern Health; alliance signed, design through late 2026; </w:t>
      </w:r>
      <w:r>
        <w:rPr>
          <w:b/>
          <w:bCs/>
        </w:rPr>
        <w:t>the structural seat is still publicly unnamed</w:t>
      </w:r>
      <w:r>
        <w:t xml:space="preserve"> — most likely inside DIALOG BC’s own scope, but genuinely unannounced [V 0.9]. The July-10 DIALOG meeting carries the capacity-support probe; monitor DIALOG/IBC/JOC through late 2026.) ### Mid-term (18–36 months)</w:t>
      </w:r>
    </w:p>
    <w:p w14:paraId="209FB979" w14:textId="77777777" w:rsidR="00220DAA" w:rsidRDefault="002C4FA5">
      <w:pPr>
        <w:numPr>
          <w:ilvl w:val="0"/>
          <w:numId w:val="4"/>
        </w:numPr>
      </w:pPr>
      <w:r>
        <w:rPr>
          <w:b/>
          <w:bCs/>
        </w:rPr>
        <w:t>Surrey Memorial — new acute tower</w:t>
      </w:r>
      <w:r>
        <w:t xml:space="preserve"> (Fraser Health; business-planning; recent FH pattern says Alliance or DB ⇒ </w:t>
      </w:r>
      <w:r>
        <w:rPr>
          <w:b/>
          <w:bCs/>
        </w:rPr>
        <w:t>position with GCs now</w:t>
      </w:r>
      <w:r>
        <w:t xml:space="preserve"> — Graham, PCL, EllisDon, Bird). [I 0.5]</w:t>
      </w:r>
    </w:p>
    <w:p w14:paraId="2A9B2136" w14:textId="77777777" w:rsidR="00220DAA" w:rsidRDefault="002C4FA5">
      <w:pPr>
        <w:numPr>
          <w:ilvl w:val="0"/>
          <w:numId w:val="4"/>
        </w:numPr>
      </w:pPr>
      <w:r>
        <w:rPr>
          <w:b/>
          <w:bCs/>
        </w:rPr>
        <w:t>NRGH Nanaimo — patient tower</w:t>
      </w:r>
      <w:r>
        <w:t xml:space="preserve"> (Island Health; concept plan ~summer 2027, design-team RFP likely 2027–28; alliance-likely). </w:t>
      </w:r>
      <w:r>
        <w:rPr>
          <w:b/>
          <w:bCs/>
        </w:rPr>
        <w:t>The premier future gate on Island geography.</w:t>
      </w:r>
      <w:r>
        <w:t xml:space="preserve"> [V/I 0.6]</w:t>
      </w:r>
    </w:p>
    <w:p w14:paraId="1C55EEAF" w14:textId="77777777" w:rsidR="00220DAA" w:rsidRDefault="002C4FA5">
      <w:pPr>
        <w:numPr>
          <w:ilvl w:val="0"/>
          <w:numId w:val="4"/>
        </w:numPr>
      </w:pPr>
      <w:r>
        <w:rPr>
          <w:b/>
          <w:bCs/>
        </w:rPr>
        <w:t>Burnaby Ph2 + BC Cancer “refresh”</w:t>
      </w:r>
      <w:r>
        <w:t xml:space="preserve"> </w:t>
      </w:r>
      <w:r>
        <w:t>(wildcard: PCL+Parkin hold the ADA; the Budget-2026 refresh could rescope or reopen the team — if it proceeds, any unfilled SE sub-seat is PCL/Parkin’s to give). [V 0.7 on status]</w:t>
      </w:r>
    </w:p>
    <w:p w14:paraId="27B26FCA" w14:textId="77777777" w:rsidR="00220DAA" w:rsidRDefault="002C4FA5">
      <w:pPr>
        <w:numPr>
          <w:ilvl w:val="0"/>
          <w:numId w:val="4"/>
        </w:numPr>
      </w:pPr>
      <w:r>
        <w:rPr>
          <w:b/>
          <w:bCs/>
        </w:rPr>
        <w:t>The frozen Fraser Valley LTC class</w:t>
      </w:r>
      <w:r>
        <w:t xml:space="preserve"> (Abbotsford $211M, Chilliwack $274M, Delta ~$198M — design contracts cancelled/paused Apr 2026 pending a provincial standard-design/modular review; Langley LTC + Langley Memorial behind them). Cheap to monitor; potentially fast re-tenders when unfrozen. [V 0.85]</w:t>
      </w:r>
    </w:p>
    <w:p w14:paraId="0377656A" w14:textId="77777777" w:rsidR="00220DAA" w:rsidRDefault="002C4FA5">
      <w:pPr>
        <w:numPr>
          <w:ilvl w:val="0"/>
          <w:numId w:val="4"/>
        </w:numPr>
      </w:pPr>
      <w:r>
        <w:rPr>
          <w:b/>
          <w:bCs/>
        </w:rPr>
        <w:t>Kitimat Hospital</w:t>
      </w:r>
      <w:r>
        <w:t xml:space="preserve"> </w:t>
      </w:r>
      <w:r>
        <w:t xml:space="preserve">(master-plan stage; multi-year Northern lead). [V 0.6] ### Locked / context (do not pursue the seat) Kamloops Cancer Centre (EllisDon PDB — </w:t>
      </w:r>
      <w:r>
        <w:rPr>
          <w:b/>
          <w:bCs/>
        </w:rPr>
        <w:t>Glotman Simpson</w:t>
      </w:r>
      <w:r>
        <w:t xml:space="preserve">, u/c to 2028) · Cowichan/Quw’utsun (~90% complete — Bush Bohlman) · New Surrey &amp; BC Cancer (EllisDon DB, SE undisclosed, u/c) · New St. Paul’s (RJC+MKA, patients Spring 2027) · BCCH-CHC (Ledcor DB, Fast+Epp, complete Dec 2027) · RCH Ph2 opened May 2026 (Bush Bohlman; Ph3 renos = FH CM through ~2029, carryover likely) · Cariboo Memorial (Graham+Stantec PDB — Stantec in-house) · RIH Kamloops tower (complete/Ph2 closing) · Richmond Ph2–3 (Graham+HDR alliance — seat embedded at RFQ [I 0.8]; schedule itself in </w:t>
      </w:r>
      <w:r>
        <w:t>flux post-Budget-2026).</w:t>
      </w:r>
    </w:p>
    <w:p w14:paraId="167A3C7F" w14:textId="77777777" w:rsidR="00220DAA" w:rsidRDefault="002C4FA5">
      <w:pPr>
        <w:pStyle w:val="Heading2"/>
      </w:pPr>
      <w:bookmarkStart w:id="6" w:name="the-se-incumbent-map-who-kor-displaces-v"/>
      <w:bookmarkEnd w:id="4"/>
      <w:bookmarkEnd w:id="5"/>
      <w:r>
        <w:lastRenderedPageBreak/>
        <w:t>4. The SE incumbent map (who KOR displaces) [V]</w:t>
      </w:r>
    </w:p>
    <w:p w14:paraId="6A6F9552" w14:textId="77777777" w:rsidR="00220DAA" w:rsidRDefault="002C4FA5">
      <w:pPr>
        <w:pStyle w:val="Compact"/>
        <w:numPr>
          <w:ilvl w:val="0"/>
          <w:numId w:val="5"/>
        </w:numPr>
      </w:pPr>
      <w:r>
        <w:rPr>
          <w:b/>
          <w:bCs/>
        </w:rPr>
        <w:t>Glotman Simpson — the volume leader</w:t>
      </w:r>
      <w:r>
        <w:t xml:space="preserve"> (~10 documented BC health structural seats: RIH Ph1+2, Burnaby Ph1, Penticton/Kampe, VGH Diamond HCC, Lions Gate HOpe, BC Cancer Research, Haida Gwaii, JPOCSC Surrey, + Kamloops Cancer Centre new-build).</w:t>
      </w:r>
    </w:p>
    <w:p w14:paraId="55C06C0A" w14:textId="77777777" w:rsidR="00220DAA" w:rsidRDefault="002C4FA5">
      <w:pPr>
        <w:pStyle w:val="Compact"/>
        <w:numPr>
          <w:ilvl w:val="0"/>
          <w:numId w:val="5"/>
        </w:numPr>
      </w:pPr>
      <w:r>
        <w:rPr>
          <w:b/>
          <w:bCs/>
        </w:rPr>
        <w:t>Bush Bohlman — the mega-project specialist</w:t>
      </w:r>
      <w:r>
        <w:t xml:space="preserve"> (Cowichan ~$1.5B; Surrey Memorial CCT; RCH Ph2; Langley Memorial; UBCO Health Sciences; structural-only firm, so every credit is a seat).</w:t>
      </w:r>
    </w:p>
    <w:p w14:paraId="51FDA222" w14:textId="77777777" w:rsidR="00220DAA" w:rsidRDefault="002C4FA5">
      <w:pPr>
        <w:pStyle w:val="Compact"/>
        <w:numPr>
          <w:ilvl w:val="0"/>
          <w:numId w:val="5"/>
        </w:numPr>
      </w:pPr>
      <w:r>
        <w:rPr>
          <w:b/>
          <w:bCs/>
        </w:rPr>
        <w:t>RJC</w:t>
      </w:r>
      <w:r>
        <w:t xml:space="preserve"> </w:t>
      </w:r>
      <w:r>
        <w:t xml:space="preserve">(Abbotsford Regional P3, Interior Heart &amp; Surgical, </w:t>
      </w:r>
      <w:r>
        <w:rPr>
          <w:b/>
          <w:bCs/>
        </w:rPr>
        <w:t>BC Cancer North — commonly misattributed to Fast+Epp</w:t>
      </w:r>
      <w:r>
        <w:t xml:space="preserve">, New St. Paul’s shared) · </w:t>
      </w:r>
      <w:r>
        <w:rPr>
          <w:b/>
          <w:bCs/>
        </w:rPr>
        <w:t>MKA</w:t>
      </w:r>
      <w:r>
        <w:t xml:space="preserve"> (Teck ACC, New St. Paul’s — the US import on marquee jobs) · </w:t>
      </w:r>
      <w:r>
        <w:rPr>
          <w:b/>
          <w:bCs/>
        </w:rPr>
        <w:t>Fast+Epp</w:t>
      </w:r>
      <w:r>
        <w:t xml:space="preserve"> (BCCH-CHC; New St. Paul’s was indicative-design only) · </w:t>
      </w:r>
      <w:r>
        <w:rPr>
          <w:b/>
          <w:bCs/>
        </w:rPr>
        <w:t>CWMM</w:t>
      </w:r>
      <w:r>
        <w:t xml:space="preserve"> (interior-BC niche).</w:t>
      </w:r>
    </w:p>
    <w:p w14:paraId="0A41DEC7" w14:textId="77777777" w:rsidR="00220DAA" w:rsidRDefault="002C4FA5">
      <w:pPr>
        <w:pStyle w:val="Compact"/>
        <w:numPr>
          <w:ilvl w:val="0"/>
          <w:numId w:val="5"/>
        </w:numPr>
      </w:pPr>
      <w:r>
        <w:rPr>
          <w:b/>
          <w:bCs/>
        </w:rPr>
        <w:t>Verified negatives:</w:t>
      </w:r>
      <w:r>
        <w:t xml:space="preserve"> Entuitive = building-envelope roles only in BC health (the “Entuitive on Richmond” claim is unsubstantiated); WSP = no BC health structural-EOR found; Krahn/Associated = absent from the niche.</w:t>
      </w:r>
    </w:p>
    <w:p w14:paraId="1C0C2567" w14:textId="77777777" w:rsidR="00220DAA" w:rsidRDefault="002C4FA5">
      <w:pPr>
        <w:pStyle w:val="Compact"/>
        <w:numPr>
          <w:ilvl w:val="0"/>
          <w:numId w:val="5"/>
        </w:numPr>
      </w:pPr>
      <w:r>
        <w:rPr>
          <w:b/>
          <w:bCs/>
        </w:rPr>
        <w:t>Structure of the market:</w:t>
      </w:r>
      <w:r>
        <w:t xml:space="preserve"> no single firm owns the alliance/DB channel — the seat follows the </w:t>
      </w:r>
      <w:r>
        <w:rPr>
          <w:i/>
          <w:iCs/>
        </w:rPr>
        <w:t>team</w:t>
      </w:r>
      <w:r>
        <w:t>, which is why pre-RFQ teaming (not brand) decides winners.</w:t>
      </w:r>
    </w:p>
    <w:p w14:paraId="1903A13C" w14:textId="77777777" w:rsidR="00220DAA" w:rsidRDefault="002C4FA5">
      <w:pPr>
        <w:pStyle w:val="Heading2"/>
      </w:pPr>
      <w:bookmarkStart w:id="7" w:name="kors-positioning-evidence-led"/>
      <w:bookmarkEnd w:id="6"/>
      <w:r>
        <w:t>5. KOR’s positioning (evidence-led)</w:t>
      </w:r>
    </w:p>
    <w:p w14:paraId="3B4D32D8" w14:textId="77777777" w:rsidR="00220DAA" w:rsidRDefault="002C4FA5">
      <w:pPr>
        <w:pStyle w:val="Compact"/>
        <w:numPr>
          <w:ilvl w:val="0"/>
          <w:numId w:val="6"/>
        </w:numPr>
      </w:pPr>
      <w:r>
        <w:rPr>
          <w:b/>
          <w:bCs/>
        </w:rPr>
        <w:t>The seismic claim lands on the right targets:</w:t>
      </w:r>
      <w:r>
        <w:t xml:space="preserve"> VGH campus, VGH+, Burnaby Ph2, Richmond phases are all high-seismic (Richmond + liquefaction); Cowichan set the “post-disaster facility” </w:t>
      </w:r>
      <w:r>
        <w:t>precedent standard. Interior/North targets (UHNBC, Cariboo, EKRH) are low-moderate hazard — lead with capacity and delivery there, not seismicity.</w:t>
      </w:r>
    </w:p>
    <w:p w14:paraId="1BA45D37" w14:textId="77777777" w:rsidR="00220DAA" w:rsidRDefault="002C4FA5">
      <w:pPr>
        <w:pStyle w:val="Compact"/>
        <w:numPr>
          <w:ilvl w:val="0"/>
          <w:numId w:val="6"/>
        </w:numPr>
      </w:pPr>
      <w:r>
        <w:rPr>
          <w:b/>
          <w:bCs/>
        </w:rPr>
        <w:t>Geography:</w:t>
      </w:r>
      <w:r>
        <w:t xml:space="preserve"> NRGH, Port Hardy, and the Island pipeline sit where the Metro incumbents have no local presence — the same displacement logic KOR already runs against Glotman on Island/Interior private work.</w:t>
      </w:r>
    </w:p>
    <w:p w14:paraId="0B98CB2B" w14:textId="77777777" w:rsidR="00220DAA" w:rsidRDefault="002C4FA5">
      <w:pPr>
        <w:pStyle w:val="Compact"/>
        <w:numPr>
          <w:ilvl w:val="0"/>
          <w:numId w:val="6"/>
        </w:numPr>
      </w:pPr>
      <w:r>
        <w:rPr>
          <w:b/>
          <w:bCs/>
        </w:rPr>
        <w:t>Channel actions this quarter:</w:t>
      </w:r>
      <w:r>
        <w:t xml:space="preserve"> </w:t>
      </w:r>
      <w:r>
        <w:t>(a) resolve Port Hardy with one manual BC Bid check; (b) open the MCM/Foundation conversation on VGH+ (architect named, seat open, no IBC gate); (c) put KOR on one GC’s pursuit-team bench (Graham, Bird, or EllisDon) before the Squamish/West Van RFP and Surrey Memorial RFQ land; (d) run the UHNBC probe via the July-10 DIALOG meeting; (e) track EKRH’s DB award.</w:t>
      </w:r>
    </w:p>
    <w:p w14:paraId="7FB6EF55" w14:textId="77777777" w:rsidR="00220DAA" w:rsidRDefault="002C4FA5">
      <w:pPr>
        <w:pStyle w:val="Heading2"/>
      </w:pPr>
      <w:bookmarkStart w:id="8" w:name="X0813d5ff6208524b26176c85587700616a70e60"/>
      <w:bookmarkEnd w:id="7"/>
      <w:r>
        <w:t>6. Honesty ledger (what a skeptic should know)</w:t>
      </w:r>
    </w:p>
    <w:p w14:paraId="2808915B" w14:textId="77777777" w:rsidR="00220DAA" w:rsidRDefault="002C4FA5">
      <w:pPr>
        <w:pStyle w:val="Compact"/>
        <w:numPr>
          <w:ilvl w:val="0"/>
          <w:numId w:val="7"/>
        </w:numPr>
      </w:pPr>
      <w:r>
        <w:rPr>
          <w:b/>
          <w:bCs/>
        </w:rPr>
        <w:t>Value conflicts unresolved:</w:t>
      </w:r>
      <w:r>
        <w:t xml:space="preserve"> </w:t>
      </w:r>
      <w:r>
        <w:t>EKRH $58.9M vs $104.7M; Dr. F.W. Green $156.5M vs $232M; RIH $457M vs $490M — health-authority list pages contradict their own project releases; this map prefers dedicated project pages and says so per row in the source files.</w:t>
      </w:r>
    </w:p>
    <w:p w14:paraId="6BBD251A" w14:textId="77777777" w:rsidR="00220DAA" w:rsidRDefault="002C4FA5">
      <w:pPr>
        <w:pStyle w:val="Compact"/>
        <w:numPr>
          <w:ilvl w:val="0"/>
          <w:numId w:val="7"/>
        </w:numPr>
      </w:pPr>
      <w:r>
        <w:rPr>
          <w:b/>
          <w:bCs/>
        </w:rPr>
        <w:t>Schedule conflicts:</w:t>
      </w:r>
      <w:r>
        <w:t xml:space="preserve"> Richmond construction “2026→2029” (Aug 2024 release) vs “2028→2033” (post-Budget-2026 reporting) — the later dates are treated as current.</w:t>
      </w:r>
    </w:p>
    <w:p w14:paraId="52453681" w14:textId="77777777" w:rsidR="00220DAA" w:rsidRDefault="002C4FA5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Genuinely unknown:</w:t>
      </w:r>
      <w:r>
        <w:t xml:space="preserve"> </w:t>
      </w:r>
      <w:r>
        <w:t>New Surrey’s SE identity (undisclosed, u/c); UHNBC’s structural arrangement (unannounced); Port Hardy’s team; Burnaby Ph2’s post-refresh shape; BC Bid contents (not machine-readable).</w:t>
      </w:r>
    </w:p>
    <w:p w14:paraId="4448C79B" w14:textId="77777777" w:rsidR="00220DAA" w:rsidRDefault="002C4FA5">
      <w:pPr>
        <w:pStyle w:val="Compact"/>
        <w:numPr>
          <w:ilvl w:val="0"/>
          <w:numId w:val="7"/>
        </w:numPr>
      </w:pPr>
      <w:r>
        <w:rPr>
          <w:b/>
          <w:bCs/>
        </w:rPr>
        <w:t>Systemic caveat:</w:t>
      </w:r>
      <w:r>
        <w:t xml:space="preserve"> every pre-Q2-2026 status in any source predates the Budget-2026 re-pacing — statuses here were re-verified against post-February coverage wherever possible.</w:t>
      </w:r>
    </w:p>
    <w:p w14:paraId="371E6FDC" w14:textId="77777777" w:rsidR="00220DAA" w:rsidRDefault="002C4FA5">
      <w:pPr>
        <w:pStyle w:val="Compact"/>
        <w:numPr>
          <w:ilvl w:val="0"/>
          <w:numId w:val="7"/>
        </w:numPr>
      </w:pPr>
      <w:r>
        <w:rPr>
          <w:b/>
          <w:bCs/>
        </w:rPr>
        <w:t>Method:</w:t>
      </w:r>
      <w:r>
        <w:t xml:space="preserve"> </w:t>
      </w:r>
      <w:r>
        <w:t>built platform-first (25 BC health projects already held), then 3 parallel research passes + 2 deep-verification passes (~55 projects, all six authorities + Providence). Corrections made en route: New St. Paul’s builder (PCL, not EllisDon), BCCH-CHC/Complex-Care are one project (MPI dup retired), Bradley Centre reframed (cancelled LTC replacement), Bush Bohlman’s Cowichan role precisely stated (design-team sub-consultant, not alliance signatory).</w:t>
      </w:r>
    </w:p>
    <w:p w14:paraId="25B609A4" w14:textId="77777777" w:rsidR="00220DAA" w:rsidRDefault="002C4FA5">
      <w:r>
        <w:pict w14:anchorId="2643E202">
          <v:rect id="_x0000_i1026" style="width:0;height:1.5pt" o:hralign="center" o:hrstd="t" o:hr="t"/>
        </w:pict>
      </w:r>
    </w:p>
    <w:p w14:paraId="539C8D54" w14:textId="77777777" w:rsidR="00220DAA" w:rsidRDefault="002C4FA5">
      <w:pPr>
        <w:pStyle w:val="FirstParagraph"/>
      </w:pPr>
      <w:r>
        <w:rPr>
          <w:i/>
          <w:iCs/>
        </w:rPr>
        <w:t>All organizations, seats, and gates in this map are filed in KOR’s BD database (dated 2026-07-01), with the genuinely open seats flagged on the dashboard. Full per-project source tables live in the underlying research files retained with this report.</w:t>
      </w:r>
      <w:bookmarkEnd w:id="0"/>
      <w:bookmarkEnd w:id="8"/>
    </w:p>
    <w:sectPr w:rsidR="00220DAA" w:rsidSect="00FF4170">
      <w:footnotePr>
        <w:numRestart w:val="eachSect"/>
      </w:footnotePr>
      <w:pgSz w:w="12240" w:h="15840"/>
      <w:pgMar w:top="860" w:right="1000" w:bottom="860" w:left="1000" w:header="720" w:footer="720" w:gutter="0"/>
      <w:cols w:space="720"/>
      <w:docGrid w:linePitch="2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A948A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1480F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450EC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B372C354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" w16cid:durableId="1675961622">
    <w:abstractNumId w:val="0"/>
  </w:num>
  <w:num w:numId="2" w16cid:durableId="12487292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0126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24069080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5" w16cid:durableId="1550415934">
    <w:abstractNumId w:val="1"/>
  </w:num>
  <w:num w:numId="6" w16cid:durableId="2077241200">
    <w:abstractNumId w:val="1"/>
  </w:num>
  <w:num w:numId="7" w16cid:durableId="1181239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0DAA"/>
    <w:rsid w:val="00220DAA"/>
    <w:rsid w:val="002C4FA5"/>
    <w:rsid w:val="007D46EC"/>
    <w:rsid w:val="00FF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ED83E"/>
  <w15:docId w15:val="{B1343CD1-21F8-4536-848A-33887C54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Calibri" w:hAnsi="Calibri" w:cs="Calibri"/>
      <w:sz w:val="18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00" w:after="20"/>
      <w:outlineLvl w:val="0"/>
    </w:pPr>
    <w:rPr>
      <w:rFonts w:eastAsiaTheme="majorEastAsia"/>
      <w:b/>
      <w:color w:val="1F3B5F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100" w:after="20"/>
      <w:contextualSpacing/>
      <w:jc w:val="center"/>
    </w:pPr>
    <w:rPr>
      <w:rFonts w:eastAsiaTheme="majorEastAsia"/>
      <w:b/>
      <w:color w:val="1F3B5F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2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FF4170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1729</Words>
  <Characters>9857</Characters>
  <Application>Microsoft Office Word</Application>
  <DocSecurity>0</DocSecurity>
  <Lines>82</Lines>
  <Paragraphs>23</Paragraphs>
  <ScaleCrop>false</ScaleCrop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2026-07-02T23:15:00Z</dcterms:created>
  <dcterms:modified xsi:type="dcterms:W3CDTF">2026-07-02T23:15:00Z</dcterms:modified>
</cp:coreProperties>
</file>