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119D" w14:textId="77777777" w:rsidR="0053478A" w:rsidRDefault="00C65108">
      <w:pPr>
        <w:pStyle w:val="Heading1"/>
      </w:pPr>
      <w:bookmarkStart w:id="0" w:name="X04d0858eba9248dcd27c7f36ed852315626bc4c"/>
      <w:r>
        <w:t>DIALOG Edmonton — Walk-In Card · July 10, 2026</w:t>
      </w:r>
    </w:p>
    <w:p w14:paraId="76A66C74" w14:textId="77777777" w:rsidR="0053478A" w:rsidRDefault="00C65108">
      <w:pPr>
        <w:pStyle w:val="FirstParagraph"/>
      </w:pPr>
      <w:r>
        <w:rPr>
          <w:b/>
          <w:bCs/>
        </w:rPr>
        <w:t>One page. Everything verified 2026-07-01. Full reference: KOR-DIALOG-Edmonton-Structural-Outsourcing brief.</w:t>
      </w:r>
    </w:p>
    <w:p w14:paraId="699B95BA" w14:textId="77777777" w:rsidR="0053478A" w:rsidRDefault="00C65108">
      <w:pPr>
        <w:pStyle w:val="Heading2"/>
      </w:pPr>
      <w:bookmarkStart w:id="1" w:name="the-goal-one-sentence"/>
      <w:r>
        <w:t>The goal (one sentence)</w:t>
      </w:r>
    </w:p>
    <w:p w14:paraId="10CBE20E" w14:textId="77777777" w:rsidR="0053478A" w:rsidRDefault="00C65108">
      <w:pPr>
        <w:pStyle w:val="FirstParagraph"/>
      </w:pPr>
      <w:r>
        <w:t xml:space="preserve">Leave as </w:t>
      </w:r>
      <w:r>
        <w:rPr>
          <w:b/>
          <w:bCs/>
        </w:rPr>
        <w:t>the structural firm DIALOG Edmonton thinks of</w:t>
      </w:r>
      <w:r>
        <w:t xml:space="preserve"> for specialist/overflow and co-SE work — this is a relationship meeting; </w:t>
      </w:r>
      <w:r>
        <w:rPr>
          <w:b/>
          <w:bCs/>
        </w:rPr>
        <w:t>there is no open seat to pitch.</w:t>
      </w:r>
    </w:p>
    <w:p w14:paraId="78ABF29F" w14:textId="77777777" w:rsidR="0053478A" w:rsidRDefault="00C65108">
      <w:pPr>
        <w:pStyle w:val="Heading2"/>
      </w:pPr>
      <w:bookmarkStart w:id="2" w:name="whos-across-the-table"/>
      <w:bookmarkEnd w:id="1"/>
      <w:r>
        <w:t>Who’s across the table</w:t>
      </w:r>
    </w:p>
    <w:p w14:paraId="7787BF29" w14:textId="77777777" w:rsidR="0053478A" w:rsidRDefault="00C65108">
      <w:pPr>
        <w:pStyle w:val="FirstParagraph"/>
      </w:pPr>
      <w:r>
        <w:rPr>
          <w:b/>
          <w:bCs/>
        </w:rPr>
        <w:t>Georg Josi</w:t>
      </w:r>
      <w:r>
        <w:t xml:space="preserve"> — Partner, Structural Engineer, </w:t>
      </w:r>
      <w:r>
        <w:rPr>
          <w:b/>
          <w:bCs/>
        </w:rPr>
        <w:t>Edmonton Studio Chair</w:t>
      </w:r>
      <w:r>
        <w:t xml:space="preserve"> </w:t>
      </w:r>
      <w:r>
        <w:t xml:space="preserve">(PhD, PEng). Healthcare background; Kaye Clinic is his favourite project. Possibly </w:t>
      </w:r>
      <w:r>
        <w:rPr>
          <w:b/>
          <w:bCs/>
        </w:rPr>
        <w:t>Steven Oosterhof</w:t>
      </w:r>
      <w:r>
        <w:t xml:space="preserve"> — Partner (PhD/PE/SE), </w:t>
      </w:r>
      <w:r>
        <w:rPr>
          <w:b/>
          <w:bCs/>
        </w:rPr>
        <w:t>voting member of the NBCC Standing Committee on Earthquake Design</w:t>
      </w:r>
      <w:r>
        <w:t xml:space="preserve"> (member — the chair is Perry Adebar, UBC). These are peers; talk engineer-to-engineer, never lecture code.</w:t>
      </w:r>
    </w:p>
    <w:p w14:paraId="2DBD7C69" w14:textId="77777777" w:rsidR="0053478A" w:rsidRDefault="00C65108">
      <w:pPr>
        <w:pStyle w:val="Heading2"/>
      </w:pPr>
      <w:bookmarkStart w:id="3" w:name="X6b1f4d6396144133adef448d42789b3b035849a"/>
      <w:bookmarkEnd w:id="2"/>
      <w:r>
        <w:t>The one-line answer (if asked what we know about them)</w:t>
      </w:r>
    </w:p>
    <w:p w14:paraId="595A8D01" w14:textId="77777777" w:rsidR="0053478A" w:rsidRDefault="00C65108">
      <w:pPr>
        <w:pStyle w:val="FirstParagraph"/>
      </w:pPr>
      <w:r>
        <w:t xml:space="preserve">DIALOG self-performs most structural — transit, bridges, mid-rise, civic, most healthcare — and brings in external structural where </w:t>
      </w:r>
      <w:r>
        <w:rPr>
          <w:b/>
          <w:bCs/>
        </w:rPr>
        <w:t>a developer or design-lead architect procures it separately</w:t>
      </w:r>
      <w:r>
        <w:t xml:space="preserve"> (towers, Snøhetta-type projects), on </w:t>
      </w:r>
      <w:r>
        <w:rPr>
          <w:b/>
          <w:bCs/>
        </w:rPr>
        <w:t>Alberta mega design-build hospitals as co-SE</w:t>
      </w:r>
      <w:r>
        <w:t xml:space="preserve"> (Kaye → Yolles/Jacobs </w:t>
      </w:r>
      <w:r>
        <w:rPr>
          <w:i/>
          <w:iCs/>
        </w:rPr>
        <w:t>equal partners</w:t>
      </w:r>
      <w:r>
        <w:t xml:space="preserve">; Calgary Cancer $1.4B → Stantec), for </w:t>
      </w:r>
      <w:r>
        <w:rPr>
          <w:b/>
          <w:bCs/>
        </w:rPr>
        <w:t>specialist innovation</w:t>
      </w:r>
      <w:r>
        <w:t xml:space="preserve"> (Fast+Epp mass timber, Equilibrium rammed earth), and </w:t>
      </w:r>
      <w:r>
        <w:rPr>
          <w:b/>
          <w:bCs/>
        </w:rPr>
        <w:t>where a studio lacks the specialty</w:t>
      </w:r>
      <w:r>
        <w:t xml:space="preserve"> (Vancouver has no healthcare structural track record).</w:t>
      </w:r>
    </w:p>
    <w:p w14:paraId="01E0366F" w14:textId="77777777" w:rsidR="0053478A" w:rsidRDefault="00C65108">
      <w:pPr>
        <w:pStyle w:val="Heading2"/>
      </w:pPr>
      <w:bookmarkStart w:id="4" w:name="five-things-to-know"/>
      <w:bookmarkEnd w:id="3"/>
      <w:r>
        <w:t>Five things to know</w:t>
      </w:r>
    </w:p>
    <w:p w14:paraId="1194F65A" w14:textId="77777777" w:rsidR="0053478A" w:rsidRDefault="00C65108">
      <w:pPr>
        <w:pStyle w:val="Compact"/>
        <w:numPr>
          <w:ilvl w:val="0"/>
          <w:numId w:val="2"/>
        </w:numPr>
      </w:pPr>
      <w:r>
        <w:rPr>
          <w:b/>
          <w:bCs/>
        </w:rPr>
        <w:t>Their AB structural bench is contracting</w:t>
      </w:r>
      <w:r>
        <w:t xml:space="preserve"> </w:t>
      </w:r>
      <w:r>
        <w:t>— Montgomery → Emeritus 2025, Sandra Renihan → transit PM — while the RPK merger (Aug 2025) added healthcare workload. Capacity pressure is real; probe it, don’t assert it.</w:t>
      </w:r>
    </w:p>
    <w:p w14:paraId="1ABB8CC1" w14:textId="77777777" w:rsidR="0053478A" w:rsidRDefault="00C65108">
      <w:pPr>
        <w:pStyle w:val="Compact"/>
        <w:numPr>
          <w:ilvl w:val="0"/>
          <w:numId w:val="2"/>
        </w:numPr>
      </w:pPr>
      <w:r>
        <w:rPr>
          <w:b/>
          <w:bCs/>
        </w:rPr>
        <w:t>The Kaye model is the door:</w:t>
      </w:r>
      <w:r>
        <w:t xml:space="preserve"> on the biggest AB design-build hospitals they’ve twice taken a co-equal external SE. The ask is to be </w:t>
      </w:r>
      <w:r>
        <w:rPr>
          <w:i/>
          <w:iCs/>
        </w:rPr>
        <w:t>next on that list</w:t>
      </w:r>
      <w:r>
        <w:t>.</w:t>
      </w:r>
    </w:p>
    <w:p w14:paraId="2813791E" w14:textId="77777777" w:rsidR="0053478A" w:rsidRDefault="00C65108">
      <w:pPr>
        <w:pStyle w:val="Compact"/>
        <w:numPr>
          <w:ilvl w:val="0"/>
          <w:numId w:val="2"/>
        </w:numPr>
      </w:pPr>
      <w:r>
        <w:rPr>
          <w:b/>
          <w:bCs/>
        </w:rPr>
        <w:t>UHNBC ($1.58B, Prince George)</w:t>
      </w:r>
      <w:r>
        <w:t xml:space="preserve"> is DIALOG BC + EllisDon in alliance — structural is </w:t>
      </w:r>
      <w:r>
        <w:rPr>
          <w:i/>
          <w:iCs/>
        </w:rPr>
        <w:t>most likely their own BC scope</w:t>
      </w:r>
      <w:r>
        <w:t xml:space="preserve"> </w:t>
      </w:r>
      <w:r>
        <w:t xml:space="preserve">(no structural alliance participant was named; mechanical/electrical were). Ask about it as </w:t>
      </w:r>
      <w:r>
        <w:rPr>
          <w:b/>
          <w:bCs/>
        </w:rPr>
        <w:t>capacity support</w:t>
      </w:r>
      <w:r>
        <w:t xml:space="preserve">, not an open seat. Prince George is </w:t>
      </w:r>
      <w:r>
        <w:rPr>
          <w:i/>
          <w:iCs/>
        </w:rPr>
        <w:t>low</w:t>
      </w:r>
      <w:r>
        <w:t xml:space="preserve"> seismicity — importance-factor angle, not seismic-intensity.</w:t>
      </w:r>
    </w:p>
    <w:p w14:paraId="0E1A45CC" w14:textId="77777777" w:rsidR="0053478A" w:rsidRDefault="00C65108">
      <w:pPr>
        <w:pStyle w:val="Compact"/>
        <w:numPr>
          <w:ilvl w:val="0"/>
          <w:numId w:val="2"/>
        </w:numPr>
      </w:pPr>
      <w:r>
        <w:rPr>
          <w:b/>
          <w:bCs/>
        </w:rPr>
        <w:t>Speak their language:</w:t>
      </w:r>
      <w:r>
        <w:t xml:space="preserve"> partner-owned B-Corp, alliance/IPD-fluent, “Community Wellbeing Framework,” SE 2050. Say “integrated team,” “all disciplines at the table” — </w:t>
      </w:r>
      <w:r>
        <w:rPr>
          <w:b/>
          <w:bCs/>
        </w:rPr>
        <w:t>never “sub-consultant.”</w:t>
      </w:r>
      <w:r>
        <w:t xml:space="preserve"> Bring the embodied-carbon/LCA story.</w:t>
      </w:r>
    </w:p>
    <w:p w14:paraId="20F46B0B" w14:textId="77777777" w:rsidR="0053478A" w:rsidRDefault="00C65108">
      <w:pPr>
        <w:pStyle w:val="Compact"/>
        <w:numPr>
          <w:ilvl w:val="0"/>
          <w:numId w:val="2"/>
        </w:numPr>
      </w:pPr>
      <w:r>
        <w:rPr>
          <w:b/>
          <w:bCs/>
        </w:rPr>
        <w:t>The seismic wedge (exact wording):</w:t>
      </w:r>
      <w:r>
        <w:t xml:space="preserve"> </w:t>
      </w:r>
      <w:r>
        <w:rPr>
          <w:i/>
          <w:iCs/>
        </w:rPr>
        <w:t xml:space="preserve">“Since May 1, 2024 Alberta designs to the NBC 2023 Alberta Edition — which for the first time brings Alberta post-disaster buildings under Article 4.1.8.23: essentially-elastic behaviour under a more </w:t>
      </w:r>
      <w:r>
        <w:rPr>
          <w:i/>
          <w:iCs/>
        </w:rPr>
        <w:lastRenderedPageBreak/>
        <w:t>frequent earthquake, 0.5% drift limit, Rd ≥ 2.0. The 1.5 importance factor isn’t new — this performance check is new to Alberta, and it’s what coastal-BC practice has been built around for years.”</w:t>
      </w:r>
    </w:p>
    <w:p w14:paraId="5BBB46DB" w14:textId="77777777" w:rsidR="0053478A" w:rsidRDefault="00C65108">
      <w:pPr>
        <w:pStyle w:val="Heading2"/>
      </w:pPr>
      <w:bookmarkStart w:id="5" w:name="the-four-questions"/>
      <w:bookmarkEnd w:id="4"/>
      <w:r>
        <w:t>The four questions</w:t>
      </w:r>
    </w:p>
    <w:p w14:paraId="3A9A32CD" w14:textId="77777777" w:rsidR="0053478A" w:rsidRDefault="00C65108">
      <w:pPr>
        <w:pStyle w:val="Compact"/>
        <w:numPr>
          <w:ilvl w:val="0"/>
          <w:numId w:val="3"/>
        </w:numPr>
      </w:pPr>
      <w:r>
        <w:t xml:space="preserve">“On </w:t>
      </w:r>
      <w:r>
        <w:rPr>
          <w:b/>
          <w:bCs/>
        </w:rPr>
        <w:t>UHNBC</w:t>
      </w:r>
      <w:r>
        <w:t xml:space="preserve"> </w:t>
      </w:r>
      <w:r>
        <w:t>— is your BC team self-performing structural, or is there room for a BC healthcare-structural partner to help carry a $1.6B tower?”</w:t>
      </w:r>
    </w:p>
    <w:p w14:paraId="489BA3E3" w14:textId="77777777" w:rsidR="0053478A" w:rsidRDefault="00C65108">
      <w:pPr>
        <w:pStyle w:val="Compact"/>
        <w:numPr>
          <w:ilvl w:val="0"/>
          <w:numId w:val="3"/>
        </w:numPr>
      </w:pPr>
      <w:r>
        <w:t xml:space="preserve">“When a hospital hits </w:t>
      </w:r>
      <w:r>
        <w:rPr>
          <w:b/>
          <w:bCs/>
        </w:rPr>
        <w:t>Kaye / Calgary-Cancer scale</w:t>
      </w:r>
      <w:r>
        <w:t xml:space="preserve"> under design-build, how do you structure the co-SE — and who do you reach for?”</w:t>
      </w:r>
    </w:p>
    <w:p w14:paraId="15EB04E6" w14:textId="77777777" w:rsidR="0053478A" w:rsidRDefault="00C65108">
      <w:pPr>
        <w:pStyle w:val="Compact"/>
        <w:numPr>
          <w:ilvl w:val="0"/>
          <w:numId w:val="3"/>
        </w:numPr>
      </w:pPr>
      <w:r>
        <w:t xml:space="preserve">“Your Vancouver studio’s structural strength is towers and transit — how are you covering </w:t>
      </w:r>
      <w:r>
        <w:rPr>
          <w:b/>
          <w:bCs/>
        </w:rPr>
        <w:t>healthcare structural in BC</w:t>
      </w:r>
      <w:r>
        <w:t>?”</w:t>
      </w:r>
    </w:p>
    <w:p w14:paraId="74279F54" w14:textId="77777777" w:rsidR="0053478A" w:rsidRDefault="00C65108">
      <w:pPr>
        <w:pStyle w:val="Compact"/>
        <w:numPr>
          <w:ilvl w:val="0"/>
          <w:numId w:val="3"/>
        </w:numPr>
      </w:pPr>
      <w:r>
        <w:t xml:space="preserve">“With the RPK merger and two partners stepping back, where’s Edmonton’s </w:t>
      </w:r>
      <w:r>
        <w:rPr>
          <w:b/>
          <w:bCs/>
        </w:rPr>
        <w:t>structural bandwidth</w:t>
      </w:r>
      <w:r>
        <w:t xml:space="preserve"> tightest over the next 24 months?”</w:t>
      </w:r>
    </w:p>
    <w:p w14:paraId="2F184710" w14:textId="77777777" w:rsidR="0053478A" w:rsidRDefault="00C65108">
      <w:pPr>
        <w:pStyle w:val="Heading2"/>
      </w:pPr>
      <w:bookmarkStart w:id="6" w:name="do-not-say"/>
      <w:bookmarkEnd w:id="5"/>
      <w:r>
        <w:t>Do NOT say</w:t>
      </w:r>
    </w:p>
    <w:p w14:paraId="516AF9DE" w14:textId="77777777" w:rsidR="0053478A" w:rsidRDefault="00C65108">
      <w:pPr>
        <w:pStyle w:val="Compact"/>
        <w:numPr>
          <w:ilvl w:val="0"/>
          <w:numId w:val="4"/>
        </w:numPr>
      </w:pPr>
      <w:r>
        <w:t>✗</w:t>
      </w:r>
      <w:r>
        <w:t xml:space="preserve"> “You outsource hospital structural” — they self-perform at $680M (Grande Prairie) and $1B (Toronto Western). Only AB PCL design-builds went co-SE.</w:t>
      </w:r>
    </w:p>
    <w:p w14:paraId="10009750" w14:textId="77777777" w:rsidR="0053478A" w:rsidRDefault="00C65108">
      <w:pPr>
        <w:pStyle w:val="Compact"/>
        <w:numPr>
          <w:ilvl w:val="0"/>
          <w:numId w:val="4"/>
        </w:numPr>
      </w:pPr>
      <w:r>
        <w:t>✗</w:t>
      </w:r>
      <w:r>
        <w:t xml:space="preserve"> Anything citing </w:t>
      </w:r>
      <w:r>
        <w:rPr>
          <w:b/>
          <w:bCs/>
        </w:rPr>
        <w:t>Shangri-La as DIALOG-prime self-performing</w:t>
      </w:r>
      <w:r>
        <w:t xml:space="preserve"> — DIALOG was never the architect (James KM Cheng was); the structural is a Jones Kwong Kishi legacy credit (merged 2013). They know their own history.</w:t>
      </w:r>
    </w:p>
    <w:p w14:paraId="01B98D7E" w14:textId="77777777" w:rsidR="0053478A" w:rsidRDefault="00C65108">
      <w:pPr>
        <w:pStyle w:val="Compact"/>
        <w:numPr>
          <w:ilvl w:val="0"/>
          <w:numId w:val="4"/>
        </w:numPr>
      </w:pPr>
      <w:r>
        <w:t>✗</w:t>
      </w:r>
      <w:r>
        <w:t xml:space="preserve"> “The UHNBC structural seat is open” — most likely in-house at DIALOG BC. Ask; don’t claim.</w:t>
      </w:r>
    </w:p>
    <w:p w14:paraId="4675BB71" w14:textId="77777777" w:rsidR="0053478A" w:rsidRDefault="00C65108">
      <w:pPr>
        <w:pStyle w:val="Compact"/>
        <w:numPr>
          <w:ilvl w:val="0"/>
          <w:numId w:val="4"/>
        </w:numPr>
      </w:pPr>
      <w:r>
        <w:t>✗</w:t>
      </w:r>
      <w:r>
        <w:t xml:space="preserve"> “Oosterhof chairs the seismic committee” </w:t>
      </w:r>
      <w:r>
        <w:t xml:space="preserve">(member, not chair) · ✗ “IE 1.5 is new” (since ~1990) · ✗ “1% drift” (it’s </w:t>
      </w:r>
      <w:r>
        <w:rPr>
          <w:b/>
          <w:bCs/>
        </w:rPr>
        <w:t>0.5%</w:t>
      </w:r>
      <w:r>
        <w:t xml:space="preserve">) · ✗ “Alberta-unique rule” (national, new </w:t>
      </w:r>
      <w:r>
        <w:rPr>
          <w:i/>
          <w:iCs/>
        </w:rPr>
        <w:t>to Alberta</w:t>
      </w:r>
      <w:r>
        <w:t>).</w:t>
      </w:r>
    </w:p>
    <w:p w14:paraId="2DA4BF63" w14:textId="77777777" w:rsidR="0053478A" w:rsidRDefault="00C65108">
      <w:pPr>
        <w:pStyle w:val="Compact"/>
        <w:numPr>
          <w:ilvl w:val="0"/>
          <w:numId w:val="4"/>
        </w:numPr>
      </w:pPr>
      <w:r>
        <w:t>✗</w:t>
      </w:r>
      <w:r>
        <w:t xml:space="preserve"> Vancouver studio has “only one structural engineer” (≥3; the true gap is </w:t>
      </w:r>
      <w:r>
        <w:rPr>
          <w:b/>
          <w:bCs/>
        </w:rPr>
        <w:t>no healthcare track record</w:t>
      </w:r>
      <w:r>
        <w:t>).</w:t>
      </w:r>
    </w:p>
    <w:p w14:paraId="244F0193" w14:textId="77777777" w:rsidR="0053478A" w:rsidRDefault="00C65108">
      <w:pPr>
        <w:pStyle w:val="Compact"/>
        <w:numPr>
          <w:ilvl w:val="0"/>
          <w:numId w:val="4"/>
        </w:numPr>
      </w:pPr>
      <w:r>
        <w:t>✗</w:t>
      </w:r>
      <w:r>
        <w:t xml:space="preserve"> Don’t pitch against </w:t>
      </w:r>
      <w:r>
        <w:rPr>
          <w:b/>
          <w:bCs/>
        </w:rPr>
        <w:t>Fast+Epp</w:t>
      </w:r>
      <w:r>
        <w:t xml:space="preserve"> (mass timber) or </w:t>
      </w:r>
      <w:r>
        <w:rPr>
          <w:b/>
          <w:bCs/>
        </w:rPr>
        <w:t>RJC</w:t>
      </w:r>
      <w:r>
        <w:t xml:space="preserve"> (towers) — differentiate into healthcare/complex institutional instead.</w:t>
      </w:r>
    </w:p>
    <w:p w14:paraId="05FC1842" w14:textId="77777777" w:rsidR="0053478A" w:rsidRDefault="00C65108">
      <w:pPr>
        <w:pStyle w:val="Heading2"/>
      </w:pPr>
      <w:bookmarkStart w:id="7" w:name="walking-out-success-looks-like"/>
      <w:bookmarkEnd w:id="6"/>
      <w:r>
        <w:t>Walking out, success looks like</w:t>
      </w:r>
    </w:p>
    <w:p w14:paraId="333B43C4" w14:textId="77777777" w:rsidR="0053478A" w:rsidRDefault="00C65108">
      <w:pPr>
        <w:pStyle w:val="FirstParagraph"/>
      </w:pPr>
      <w:r>
        <w:t xml:space="preserve">Josi can say what KOR is </w:t>
      </w:r>
      <w:r>
        <w:rPr>
          <w:i/>
          <w:iCs/>
        </w:rPr>
        <w:t>for</w:t>
      </w:r>
      <w:r>
        <w:t xml:space="preserve">: </w:t>
      </w:r>
      <w:r>
        <w:rPr>
          <w:b/>
          <w:bCs/>
        </w:rPr>
        <w:t>BC-seasoned post-disaster/healthcare structural depth + overflow capacity</w:t>
      </w:r>
      <w:r>
        <w:t xml:space="preserve"> </w:t>
      </w:r>
      <w:r>
        <w:t>— the Fast+Epp-on-The-Hive model, for their next co-SE or capacity pinch. Concrete next step secured: an intro to the BC studio (UHNBC), or “call us when the next Kaye-scale DB forms.”</w:t>
      </w:r>
    </w:p>
    <w:p w14:paraId="03A37AFE" w14:textId="77777777" w:rsidR="0053478A" w:rsidRDefault="00C65108">
      <w:pPr>
        <w:pStyle w:val="BodyText"/>
      </w:pPr>
      <w:r>
        <w:rPr>
          <w:b/>
          <w:bCs/>
        </w:rPr>
        <w:t>Bring:</w:t>
      </w:r>
      <w:r>
        <w:t xml:space="preserve"> APEGA Permit-to-Practice status · 2–3 nameable BC hospital/post-disaster references · the embodied-carbon/LCA story.</w:t>
      </w:r>
      <w:bookmarkEnd w:id="0"/>
      <w:bookmarkEnd w:id="7"/>
    </w:p>
    <w:sectPr w:rsidR="0053478A" w:rsidSect="00F554FF">
      <w:footnotePr>
        <w:numRestart w:val="eachSect"/>
      </w:footnotePr>
      <w:pgSz w:w="12240" w:h="15840"/>
      <w:pgMar w:top="860" w:right="1000" w:bottom="860" w:left="100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9485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A3E82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5304918">
    <w:abstractNumId w:val="0"/>
  </w:num>
  <w:num w:numId="2" w16cid:durableId="12029399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47102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653431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478A"/>
    <w:rsid w:val="0053478A"/>
    <w:rsid w:val="007A5CF4"/>
    <w:rsid w:val="00C65108"/>
    <w:rsid w:val="00F5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4EDFE"/>
  <w15:docId w15:val="{BD523E81-5569-4871-A218-B55AEC5C4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/>
    </w:pPr>
    <w:rPr>
      <w:rFonts w:ascii="Calibri" w:hAnsi="Calibri" w:cs="Calibri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00" w:after="20"/>
      <w:outlineLvl w:val="0"/>
    </w:pPr>
    <w:rPr>
      <w:rFonts w:eastAsiaTheme="majorEastAsia"/>
      <w:b/>
      <w:color w:val="1F3B5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100" w:after="20"/>
      <w:contextualSpacing/>
      <w:jc w:val="center"/>
    </w:pPr>
    <w:rPr>
      <w:rFonts w:eastAsiaTheme="majorEastAsia"/>
      <w:b/>
      <w:color w:val="1F3B5F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2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2026-07-01T20:51:00Z</dcterms:created>
  <dcterms:modified xsi:type="dcterms:W3CDTF">2026-07-01T20:51:00Z</dcterms:modified>
</cp:coreProperties>
</file>