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461DA" w14:textId="77777777" w:rsidR="00FC3411" w:rsidRDefault="00C008B9">
      <w:pPr>
        <w:pStyle w:val="Heading1"/>
      </w:pPr>
      <w:bookmarkStart w:id="0" w:name="X4a341a1e815b20cd6a1bc78a02940c5320476a4"/>
      <w:r>
        <w:t>Integrated Project Delivery — What It Is, Who Uses It in Alberta, and What It Means in BC</w:t>
      </w:r>
    </w:p>
    <w:p w14:paraId="218AADCE" w14:textId="77777777" w:rsidR="00FC3411" w:rsidRDefault="00C008B9">
      <w:pPr>
        <w:pStyle w:val="FirstParagraph"/>
      </w:pPr>
      <w:r>
        <w:rPr>
          <w:b/>
          <w:bCs/>
        </w:rPr>
        <w:t>KOR Structural · Prepared 2026-07-03 · Every claim carries a source; anything unverified is labeled</w:t>
      </w:r>
    </w:p>
    <w:p w14:paraId="603A87DC" w14:textId="77777777" w:rsidR="00FC3411" w:rsidRDefault="00C008B9">
      <w:pPr>
        <w:pStyle w:val="BodyText"/>
      </w:pPr>
      <w:r>
        <w:rPr>
          <w:b/>
          <w:bCs/>
        </w:rPr>
        <w:t>How to read this:</w:t>
      </w:r>
      <w:r>
        <w:t xml:space="preserve"> claims are </w:t>
      </w:r>
      <w:r>
        <w:rPr>
          <w:b/>
          <w:bCs/>
        </w:rPr>
        <w:t>[V]</w:t>
      </w:r>
      <w:r>
        <w:t xml:space="preserve"> (verified against a primary source — see the source list), </w:t>
      </w:r>
      <w:r>
        <w:rPr>
          <w:b/>
          <w:bCs/>
        </w:rPr>
        <w:t>[I]</w:t>
      </w:r>
      <w:r>
        <w:t xml:space="preserve"> (inferred — the basis is stated), or </w:t>
      </w:r>
      <w:r>
        <w:rPr>
          <w:b/>
          <w:bCs/>
        </w:rPr>
        <w:t>UNVERIFIED</w:t>
      </w:r>
      <w:r>
        <w:t xml:space="preserve"> (found only in secondary sources; treat as a lead). Section 9 lists what we could not verify. Several widely-repeated “IPD” </w:t>
      </w:r>
      <w:r>
        <w:t>examples turned out, on checking, to be other delivery models — the text says so where it matters.</w:t>
      </w:r>
    </w:p>
    <w:p w14:paraId="407ADC76" w14:textId="77777777" w:rsidR="00FC3411" w:rsidRDefault="00C008B9">
      <w:r>
        <w:pict w14:anchorId="1644A77E">
          <v:rect id="_x0000_i1025" style="width:0;height:1.5pt" o:hralign="center" o:hrstd="t" o:hr="t"/>
        </w:pict>
      </w:r>
    </w:p>
    <w:p w14:paraId="44687707" w14:textId="77777777" w:rsidR="00FC3411" w:rsidRDefault="00C008B9">
      <w:pPr>
        <w:pStyle w:val="Heading2"/>
      </w:pPr>
      <w:bookmarkStart w:id="1" w:name="executive-summary"/>
      <w:r>
        <w:t>1. Executive summary</w:t>
      </w:r>
    </w:p>
    <w:p w14:paraId="76AB316A" w14:textId="77777777" w:rsidR="00FC3411" w:rsidRDefault="00C008B9">
      <w:pPr>
        <w:pStyle w:val="Compact"/>
        <w:numPr>
          <w:ilvl w:val="0"/>
          <w:numId w:val="2"/>
        </w:numPr>
      </w:pPr>
      <w:r>
        <w:rPr>
          <w:b/>
          <w:bCs/>
        </w:rPr>
        <w:t>IPD is a contract, not a philosophy.</w:t>
      </w:r>
      <w:r>
        <w:t xml:space="preserve"> In Canada it means CCDC 30 (published 2018, revised 2025): one multi-party agreement signed together by the owner, architect, key engineers, the contractor, and major trades. Costs are reimbursed open-book; </w:t>
      </w:r>
      <w:r>
        <w:rPr>
          <w:b/>
          <w:bCs/>
        </w:rPr>
        <w:t>each firm’s entire profit goes into a shared pool</w:t>
      </w:r>
      <w:r>
        <w:t xml:space="preserve"> </w:t>
      </w:r>
      <w:r>
        <w:t>that grows or shrinks with the whole team’s performance against a jointly-set target cost; parties waive claims against each other except for wilful default. [V]</w:t>
      </w:r>
    </w:p>
    <w:p w14:paraId="2093A29A" w14:textId="77777777" w:rsidR="00FC3411" w:rsidRDefault="00C008B9">
      <w:pPr>
        <w:pStyle w:val="Compact"/>
        <w:numPr>
          <w:ilvl w:val="0"/>
          <w:numId w:val="2"/>
        </w:numPr>
      </w:pPr>
      <w:r>
        <w:rPr>
          <w:b/>
          <w:bCs/>
        </w:rPr>
        <w:t>It is a different seat from the one KOR sits in today.</w:t>
      </w:r>
      <w:r>
        <w:t xml:space="preserve"> In our normal Prime Consultant work, KOR is the architect’s sub-consultant: the architect holds the owner contract, picks us, and our fee and liability are conventional. In IPD, KOR would </w:t>
      </w:r>
      <w:r>
        <w:rPr>
          <w:b/>
          <w:bCs/>
        </w:rPr>
        <w:t>co-sign with the owner and the builder</w:t>
      </w:r>
      <w:r>
        <w:t>, put its profit at risk on the team’s collective result, and join before design starts. Section 3 has the full comparison. [V]</w:t>
      </w:r>
    </w:p>
    <w:p w14:paraId="5AD1A16B" w14:textId="77777777" w:rsidR="00FC3411" w:rsidRDefault="00C008B9">
      <w:pPr>
        <w:pStyle w:val="Compact"/>
        <w:numPr>
          <w:ilvl w:val="0"/>
          <w:numId w:val="2"/>
        </w:numPr>
      </w:pPr>
      <w:r>
        <w:rPr>
          <w:b/>
          <w:bCs/>
        </w:rPr>
        <w:t>Alberta is one of Canada’s two IPD centres of gravity — but it’s a small, repeat-owner club, not a wave.</w:t>
      </w:r>
      <w:r>
        <w:t xml:space="preserve"> Confirmed owners: Edmonton Public Schools (the flagship program), Red Deer Catholic, City of Edmonton, Strathcona County, EPCOR, Red Deer Polytechnic, plus private one-offs. </w:t>
      </w:r>
      <w:r>
        <w:rPr>
          <w:b/>
          <w:bCs/>
        </w:rPr>
        <w:t>There is no IPD in Alberta health capital and no Alberta Infrastructure IPD framework</w:t>
      </w:r>
      <w:r>
        <w:t xml:space="preserve"> </w:t>
      </w:r>
      <w:r>
        <w:t xml:space="preserve">(its alternative-delivery play is P3). The structural seats belong overwhelmingly to </w:t>
      </w:r>
      <w:r>
        <w:rPr>
          <w:b/>
          <w:bCs/>
        </w:rPr>
        <w:t>RJC</w:t>
      </w:r>
      <w:r>
        <w:t xml:space="preserve"> (at least five corroborated projects, seven on its own roster, with named regional IPD leads), with single projects held by Entuitive, Eng-Spire, and Fast+Epp. [V]</w:t>
      </w:r>
    </w:p>
    <w:p w14:paraId="372A7DE8" w14:textId="77777777" w:rsidR="00FC3411" w:rsidRDefault="00C008B9">
      <w:pPr>
        <w:pStyle w:val="Compact"/>
        <w:numPr>
          <w:ilvl w:val="0"/>
          <w:numId w:val="2"/>
        </w:numPr>
      </w:pPr>
      <w:r>
        <w:rPr>
          <w:b/>
          <w:bCs/>
        </w:rPr>
        <w:t>The precedent that matters: a Vancouver structural firm has already won an Alberta IPD seat</w:t>
      </w:r>
      <w:r>
        <w:t xml:space="preserve"> </w:t>
      </w:r>
      <w:r>
        <w:t xml:space="preserve">— Fast+Epp held it on the Mosaic Centre (Edmonton, Alberta’s first IPD). Entry is documented and relationship-shaped: the owner picks the contractor and architect first, and that core hand-picks the consultants on collaborative track record and culture fit — </w:t>
      </w:r>
      <w:r>
        <w:rPr>
          <w:b/>
          <w:bCs/>
        </w:rPr>
        <w:t>prior IPD experience is scored, never mandatory, and training happens after selection</w:t>
      </w:r>
      <w:r>
        <w:t>. A cold RFQ from an unknown out-of-province firm has no precedent. [V]</w:t>
      </w:r>
    </w:p>
    <w:p w14:paraId="742D06AB" w14:textId="77777777" w:rsidR="00FC3411" w:rsidRDefault="00C008B9">
      <w:pPr>
        <w:pStyle w:val="Compact"/>
        <w:numPr>
          <w:ilvl w:val="0"/>
          <w:numId w:val="2"/>
        </w:numPr>
      </w:pPr>
      <w:r>
        <w:rPr>
          <w:b/>
          <w:bCs/>
        </w:rPr>
        <w:t>In BC, the ramification is a fork.</w:t>
      </w:r>
      <w:r>
        <w:t xml:space="preserve"> True IPD is rare (~3–5 projects ever) and lives in </w:t>
      </w:r>
      <w:r>
        <w:rPr>
          <w:b/>
          <w:bCs/>
        </w:rPr>
        <w:t>municipal work — where owners procure the structural engineer directly</w:t>
      </w:r>
      <w:r>
        <w:t xml:space="preserve"> </w:t>
      </w:r>
      <w:r>
        <w:lastRenderedPageBreak/>
        <w:t xml:space="preserve">(Penticton posted a standalone “Structural Consultant: IPD” RFP in 2026). The big BC collaborative wave is the </w:t>
      </w:r>
      <w:r>
        <w:rPr>
          <w:b/>
          <w:bCs/>
        </w:rPr>
        <w:t>health-capital Alliance model</w:t>
      </w:r>
      <w:r>
        <w:t xml:space="preserve"> — IPD’s sibling, now the default for hospital megaprojects — where </w:t>
      </w:r>
      <w:r>
        <w:rPr>
          <w:b/>
          <w:bCs/>
        </w:rPr>
        <w:t>engineers do not sign the alliance agreement</w:t>
      </w:r>
      <w:r>
        <w:t xml:space="preserve"> and the seat is reached through the contractor/architect pursuit team, exactly like our Prime Consultant playbook. [V]</w:t>
      </w:r>
    </w:p>
    <w:p w14:paraId="7E65C2B5" w14:textId="77777777" w:rsidR="00FC3411" w:rsidRDefault="00C008B9">
      <w:pPr>
        <w:pStyle w:val="Compact"/>
        <w:numPr>
          <w:ilvl w:val="0"/>
          <w:numId w:val="2"/>
        </w:numPr>
      </w:pPr>
      <w:r>
        <w:rPr>
          <w:b/>
          <w:bCs/>
        </w:rPr>
        <w:t>The money and risk, honestly:</w:t>
      </w:r>
      <w:r>
        <w:t xml:space="preserve"> </w:t>
      </w:r>
      <w:r>
        <w:t>every published Canadian IPD study we found paid the team full profit (Mosaic finished 12% under market), but no structural-engineer-specific outcome is published anywhere; standard professional-liability insurance has named IPD gaps that need a broker’s work before any signature; and IPD disputes still reach courtrooms despite the no-suit clause. [V]</w:t>
      </w:r>
    </w:p>
    <w:p w14:paraId="20EB8BDF" w14:textId="77777777" w:rsidR="00FC3411" w:rsidRDefault="00C008B9">
      <w:pPr>
        <w:pStyle w:val="Heading2"/>
      </w:pPr>
      <w:bookmarkStart w:id="2" w:name="X8e4f868846afa3a566805e85fe34a43ea807238"/>
      <w:bookmarkEnd w:id="1"/>
      <w:r>
        <w:t>2. What IPD actually is — at the contract level [V unless noted]</w:t>
      </w:r>
    </w:p>
    <w:p w14:paraId="0761B611" w14:textId="77777777" w:rsidR="00FC3411" w:rsidRDefault="00C008B9">
      <w:pPr>
        <w:pStyle w:val="Compact"/>
        <w:numPr>
          <w:ilvl w:val="0"/>
          <w:numId w:val="3"/>
        </w:numPr>
      </w:pPr>
      <w:r>
        <w:rPr>
          <w:b/>
          <w:bCs/>
        </w:rPr>
        <w:t>The document:</w:t>
      </w:r>
      <w:r>
        <w:t xml:space="preserve"> </w:t>
      </w:r>
      <w:r>
        <w:t>CCDC 30 — a single poly-party contract (real Canadian teams have had 24+ signatories). Smaller consultants can alternatively join via a flow-through “joining agreement” under a prime party. The 2025 revision is already in use (Penticton’s 2026 fire hall is CCDC 30-2025).</w:t>
      </w:r>
    </w:p>
    <w:p w14:paraId="4A926BAA" w14:textId="77777777" w:rsidR="00FC3411" w:rsidRDefault="00C008B9">
      <w:pPr>
        <w:pStyle w:val="Compact"/>
        <w:numPr>
          <w:ilvl w:val="0"/>
          <w:numId w:val="3"/>
        </w:numPr>
      </w:pPr>
      <w:r>
        <w:rPr>
          <w:b/>
          <w:bCs/>
        </w:rPr>
        <w:t>The money:</w:t>
      </w:r>
      <w:r>
        <w:t xml:space="preserve"> audited, open-book </w:t>
      </w:r>
      <w:r>
        <w:rPr>
          <w:b/>
          <w:bCs/>
        </w:rPr>
        <w:t>burdened costs are reimbursed</w:t>
      </w:r>
      <w:r>
        <w:t xml:space="preserve"> regardless of outcome; </w:t>
      </w:r>
      <w:r>
        <w:rPr>
          <w:b/>
          <w:bCs/>
        </w:rPr>
        <w:t>profit is fixed as a lump sum and pooled</w:t>
      </w:r>
      <w:r>
        <w:t xml:space="preserve">. Underrun: full profit plus a share of savings (typical published structures: an owner hurdle of ~2%, then up to 80% to the team, capped at 50–100% of target profit). Overrun: the pool is consumed proportionally — down to zero. The floor (costs always reimbursed) is the market norm but </w:t>
      </w:r>
      <w:r>
        <w:rPr>
          <w:b/>
          <w:bCs/>
        </w:rPr>
        <w:t>negotiated, not automatic</w:t>
      </w:r>
      <w:r>
        <w:t>.</w:t>
      </w:r>
    </w:p>
    <w:p w14:paraId="6E392927" w14:textId="77777777" w:rsidR="00FC3411" w:rsidRDefault="00C008B9">
      <w:pPr>
        <w:pStyle w:val="Compact"/>
        <w:numPr>
          <w:ilvl w:val="0"/>
          <w:numId w:val="3"/>
        </w:numPr>
      </w:pPr>
      <w:r>
        <w:rPr>
          <w:b/>
          <w:bCs/>
        </w:rPr>
        <w:t>The liability deal:</w:t>
      </w:r>
      <w:r>
        <w:t xml:space="preserve"> </w:t>
      </w:r>
      <w:r>
        <w:t>parties waive claims against each other except wilful default, and defend third-party claims jointly. This is the clause that makes conventional E&amp;O insurance imperfect for IPD (Section 7).</w:t>
      </w:r>
    </w:p>
    <w:p w14:paraId="21ECB98D" w14:textId="77777777" w:rsidR="00FC3411" w:rsidRDefault="00C008B9">
      <w:pPr>
        <w:pStyle w:val="Compact"/>
        <w:numPr>
          <w:ilvl w:val="0"/>
          <w:numId w:val="3"/>
        </w:numPr>
      </w:pPr>
      <w:r>
        <w:rPr>
          <w:b/>
          <w:bCs/>
        </w:rPr>
        <w:t>The process:</w:t>
      </w:r>
      <w:r>
        <w:t xml:space="preserve"> a paid </w:t>
      </w:r>
      <w:r>
        <w:rPr>
          <w:b/>
          <w:bCs/>
        </w:rPr>
        <w:t>validation phase</w:t>
      </w:r>
      <w:r>
        <w:t xml:space="preserve"> first — the integrated team tests whether scope fits budget and can honestly kill the project there. Then design with </w:t>
      </w:r>
      <w:r>
        <w:rPr>
          <w:b/>
          <w:bCs/>
        </w:rPr>
        <w:t>target value design</w:t>
      </w:r>
      <w:r>
        <w:t xml:space="preserve"> </w:t>
      </w:r>
      <w:r>
        <w:t>(designing to the cost, continuously estimated with the trades in the room), big-room/co-location sessions, Last Planner scheduling, and heavy BIM. For the structural engineer this front-loads effort: the fabricator is commenting on your framing scheme while it’s still a sketch.</w:t>
      </w:r>
    </w:p>
    <w:p w14:paraId="11971DC8" w14:textId="77777777" w:rsidR="00FC3411" w:rsidRDefault="00C008B9">
      <w:pPr>
        <w:pStyle w:val="Compact"/>
        <w:numPr>
          <w:ilvl w:val="0"/>
          <w:numId w:val="3"/>
        </w:numPr>
      </w:pPr>
      <w:r>
        <w:rPr>
          <w:b/>
          <w:bCs/>
        </w:rPr>
        <w:t>What it is not:</w:t>
      </w:r>
      <w:r>
        <w:t xml:space="preserve"> “integrated” or “collaborative” </w:t>
      </w:r>
      <w:r>
        <w:t>in a press release does not mean IPD. Design-build, construction management, alliances, and progressive design-build are all different contracts with different seats for the structural engineer (Section 3). Several famous “IPD” examples failed verification — see Sections 4 and 6.</w:t>
      </w:r>
    </w:p>
    <w:p w14:paraId="6D5E470A" w14:textId="77777777" w:rsidR="00FC3411" w:rsidRDefault="00C008B9">
      <w:pPr>
        <w:pStyle w:val="Heading2"/>
      </w:pPr>
      <w:bookmarkStart w:id="3" w:name="X60d0ad964929c6c720ef6b36ce1f510602ae6b6"/>
      <w:bookmarkEnd w:id="2"/>
      <w:r>
        <w:t>3. How IPD compares with the seat KOR sits in today [V unless noted; alliance sub-tier terms are [I]]</w:t>
      </w:r>
    </w:p>
    <w:tbl>
      <w:tblPr>
        <w:tblStyle w:val="GridTable4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2088"/>
        <w:gridCol w:w="2088"/>
        <w:gridCol w:w="2088"/>
        <w:gridCol w:w="2088"/>
        <w:gridCol w:w="2088"/>
      </w:tblGrid>
      <w:tr w:rsidR="00FC3411" w:rsidRPr="007D52F1" w14:paraId="06DC14DB" w14:textId="77777777" w:rsidTr="007D52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000" w:type="pct"/>
          </w:tcPr>
          <w:p w14:paraId="54D82C1D" w14:textId="77777777" w:rsidR="00FC3411" w:rsidRPr="007D52F1" w:rsidRDefault="00FC3411">
            <w:pPr>
              <w:pStyle w:val="Compact"/>
              <w:rPr>
                <w:b w:val="0"/>
                <w:sz w:val="17"/>
              </w:rPr>
            </w:pPr>
          </w:p>
        </w:tc>
        <w:tc>
          <w:tcPr>
            <w:tcW w:w="1000" w:type="pct"/>
          </w:tcPr>
          <w:p w14:paraId="04213A84" w14:textId="77777777" w:rsidR="00FC3411" w:rsidRPr="007D52F1" w:rsidRDefault="00C008B9">
            <w:pPr>
              <w:pStyle w:val="Compact"/>
              <w:rPr>
                <w:b w:val="0"/>
                <w:sz w:val="17"/>
              </w:rPr>
            </w:pPr>
            <w:r w:rsidRPr="007D52F1">
              <w:rPr>
                <w:b w:val="0"/>
                <w:sz w:val="17"/>
              </w:rPr>
              <w:t>Prime Consultant (KOR today)</w:t>
            </w:r>
          </w:p>
        </w:tc>
        <w:tc>
          <w:tcPr>
            <w:tcW w:w="1000" w:type="pct"/>
          </w:tcPr>
          <w:p w14:paraId="09CE959A" w14:textId="77777777" w:rsidR="00FC3411" w:rsidRPr="007D52F1" w:rsidRDefault="00C008B9">
            <w:pPr>
              <w:pStyle w:val="Compact"/>
              <w:rPr>
                <w:b w:val="0"/>
                <w:sz w:val="17"/>
              </w:rPr>
            </w:pPr>
            <w:r w:rsidRPr="007D52F1">
              <w:rPr>
                <w:b w:val="0"/>
                <w:sz w:val="17"/>
              </w:rPr>
              <w:t>Design-Build</w:t>
            </w:r>
          </w:p>
        </w:tc>
        <w:tc>
          <w:tcPr>
            <w:tcW w:w="1000" w:type="pct"/>
          </w:tcPr>
          <w:p w14:paraId="554DD889" w14:textId="77777777" w:rsidR="00FC3411" w:rsidRPr="007D52F1" w:rsidRDefault="00C008B9">
            <w:pPr>
              <w:pStyle w:val="Compact"/>
              <w:rPr>
                <w:b w:val="0"/>
                <w:sz w:val="17"/>
              </w:rPr>
            </w:pPr>
            <w:r w:rsidRPr="007D52F1">
              <w:rPr>
                <w:b w:val="0"/>
                <w:sz w:val="17"/>
              </w:rPr>
              <w:t>IPD (CCDC 30)</w:t>
            </w:r>
          </w:p>
        </w:tc>
        <w:tc>
          <w:tcPr>
            <w:tcW w:w="1000" w:type="pct"/>
          </w:tcPr>
          <w:p w14:paraId="2678E453" w14:textId="77777777" w:rsidR="00FC3411" w:rsidRPr="007D52F1" w:rsidRDefault="00C008B9">
            <w:pPr>
              <w:pStyle w:val="Compact"/>
              <w:rPr>
                <w:b w:val="0"/>
                <w:sz w:val="17"/>
              </w:rPr>
            </w:pPr>
            <w:r w:rsidRPr="007D52F1">
              <w:rPr>
                <w:b w:val="0"/>
                <w:sz w:val="17"/>
              </w:rPr>
              <w:t>BC Health Alliance</w:t>
            </w:r>
          </w:p>
        </w:tc>
      </w:tr>
      <w:tr w:rsidR="00FC3411" w:rsidRPr="007D52F1" w14:paraId="04C5A315" w14:textId="77777777" w:rsidTr="007D5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4418BAB9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 xml:space="preserve">KOR’s contract </w:t>
            </w:r>
            <w:r w:rsidRPr="007D52F1">
              <w:rPr>
                <w:sz w:val="17"/>
              </w:rPr>
              <w:lastRenderedPageBreak/>
              <w:t>is with</w:t>
            </w:r>
          </w:p>
        </w:tc>
        <w:tc>
          <w:tcPr>
            <w:tcW w:w="1000" w:type="pct"/>
          </w:tcPr>
          <w:p w14:paraId="03C028A6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lastRenderedPageBreak/>
              <w:t xml:space="preserve">The architect </w:t>
            </w:r>
            <w:r w:rsidRPr="007D52F1">
              <w:rPr>
                <w:sz w:val="17"/>
              </w:rPr>
              <w:lastRenderedPageBreak/>
              <w:t>(who holds the owner contract)</w:t>
            </w:r>
          </w:p>
        </w:tc>
        <w:tc>
          <w:tcPr>
            <w:tcW w:w="1000" w:type="pct"/>
          </w:tcPr>
          <w:p w14:paraId="7DE408D2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lastRenderedPageBreak/>
              <w:t>The design-</w:t>
            </w:r>
            <w:r w:rsidRPr="007D52F1">
              <w:rPr>
                <w:sz w:val="17"/>
              </w:rPr>
              <w:lastRenderedPageBreak/>
              <w:t>builder (contractor)</w:t>
            </w:r>
          </w:p>
        </w:tc>
        <w:tc>
          <w:tcPr>
            <w:tcW w:w="1000" w:type="pct"/>
          </w:tcPr>
          <w:p w14:paraId="30335A0D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b/>
                <w:bCs/>
                <w:sz w:val="17"/>
              </w:rPr>
              <w:lastRenderedPageBreak/>
              <w:t xml:space="preserve">Everyone — </w:t>
            </w:r>
            <w:r w:rsidRPr="007D52F1">
              <w:rPr>
                <w:b/>
                <w:bCs/>
                <w:sz w:val="17"/>
              </w:rPr>
              <w:lastRenderedPageBreak/>
              <w:t>one multi-party contract</w:t>
            </w:r>
            <w:r w:rsidRPr="007D52F1">
              <w:rPr>
                <w:sz w:val="17"/>
              </w:rPr>
              <w:t xml:space="preserve"> (or joining agreement under a prime)</w:t>
            </w:r>
          </w:p>
        </w:tc>
        <w:tc>
          <w:tcPr>
            <w:tcW w:w="1000" w:type="pct"/>
          </w:tcPr>
          <w:p w14:paraId="3D125EA5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lastRenderedPageBreak/>
              <w:t xml:space="preserve">Not signed by </w:t>
            </w:r>
            <w:r w:rsidRPr="007D52F1">
              <w:rPr>
                <w:sz w:val="17"/>
              </w:rPr>
              <w:lastRenderedPageBreak/>
              <w:t>engineers — KOR would subcontract to a signatory (architect or contractor)</w:t>
            </w:r>
          </w:p>
        </w:tc>
      </w:tr>
      <w:tr w:rsidR="00FC3411" w:rsidRPr="007D52F1" w14:paraId="016D3DFB" w14:textId="77777777" w:rsidTr="007D52F1">
        <w:trPr>
          <w:cantSplit/>
        </w:trPr>
        <w:tc>
          <w:tcPr>
            <w:tcW w:w="1000" w:type="pct"/>
          </w:tcPr>
          <w:p w14:paraId="2D0E0684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lastRenderedPageBreak/>
              <w:t>Who picks the SE</w:t>
            </w:r>
          </w:p>
        </w:tc>
        <w:tc>
          <w:tcPr>
            <w:tcW w:w="1000" w:type="pct"/>
          </w:tcPr>
          <w:p w14:paraId="0E1CBE0A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The architect</w:t>
            </w:r>
          </w:p>
        </w:tc>
        <w:tc>
          <w:tcPr>
            <w:tcW w:w="1000" w:type="pct"/>
          </w:tcPr>
          <w:p w14:paraId="7FB32F11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The contractor</w:t>
            </w:r>
          </w:p>
        </w:tc>
        <w:tc>
          <w:tcPr>
            <w:tcW w:w="1000" w:type="pct"/>
          </w:tcPr>
          <w:p w14:paraId="18218A2D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b/>
                <w:bCs/>
                <w:sz w:val="17"/>
              </w:rPr>
              <w:t>The owner-selected contractor+architect core, jointly</w:t>
            </w:r>
            <w:r w:rsidRPr="007D52F1">
              <w:rPr>
                <w:sz w:val="17"/>
              </w:rPr>
              <w:t xml:space="preserve"> (sometimes the owner directly — BC municipal)</w:t>
            </w:r>
          </w:p>
        </w:tc>
        <w:tc>
          <w:tcPr>
            <w:tcW w:w="1000" w:type="pct"/>
          </w:tcPr>
          <w:p w14:paraId="59BEA282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The GC/architect assembling the pursuit team, pre-RFQ</w:t>
            </w:r>
          </w:p>
        </w:tc>
      </w:tr>
      <w:tr w:rsidR="00FC3411" w:rsidRPr="007D52F1" w14:paraId="2B4CBEAB" w14:textId="77777777" w:rsidTr="007D5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56EF771C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When KOR joins</w:t>
            </w:r>
          </w:p>
        </w:tc>
        <w:tc>
          <w:tcPr>
            <w:tcW w:w="1000" w:type="pct"/>
          </w:tcPr>
          <w:p w14:paraId="3BB95E77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After the architect wins</w:t>
            </w:r>
          </w:p>
        </w:tc>
        <w:tc>
          <w:tcPr>
            <w:tcW w:w="1000" w:type="pct"/>
          </w:tcPr>
          <w:p w14:paraId="5169D2BF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At pursuit or after award</w:t>
            </w:r>
          </w:p>
        </w:tc>
        <w:tc>
          <w:tcPr>
            <w:tcW w:w="1000" w:type="pct"/>
          </w:tcPr>
          <w:p w14:paraId="63C6C938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b/>
                <w:bCs/>
                <w:sz w:val="17"/>
              </w:rPr>
              <w:t>Before validation — before design exists</w:t>
            </w:r>
          </w:p>
        </w:tc>
        <w:tc>
          <w:tcPr>
            <w:tcW w:w="1000" w:type="pct"/>
          </w:tcPr>
          <w:p w14:paraId="5C224F65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At RFQ team formation</w:t>
            </w:r>
          </w:p>
        </w:tc>
      </w:tr>
      <w:tr w:rsidR="00FC3411" w:rsidRPr="007D52F1" w14:paraId="64F64BBA" w14:textId="77777777" w:rsidTr="007D52F1">
        <w:trPr>
          <w:cantSplit/>
        </w:trPr>
        <w:tc>
          <w:tcPr>
            <w:tcW w:w="1000" w:type="pct"/>
          </w:tcPr>
          <w:p w14:paraId="3A3B6BF4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Fee &amp; risk</w:t>
            </w:r>
          </w:p>
        </w:tc>
        <w:tc>
          <w:tcPr>
            <w:tcW w:w="1000" w:type="pct"/>
          </w:tcPr>
          <w:p w14:paraId="14A95492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Conventional fee; downside = scope creep</w:t>
            </w:r>
          </w:p>
        </w:tc>
        <w:tc>
          <w:tcPr>
            <w:tcW w:w="1000" w:type="pct"/>
          </w:tcPr>
          <w:p w14:paraId="3F1E3237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Conventional fee; flow-down liability risk</w:t>
            </w:r>
          </w:p>
        </w:tc>
        <w:tc>
          <w:tcPr>
            <w:tcW w:w="1000" w:type="pct"/>
          </w:tcPr>
          <w:p w14:paraId="04794545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b/>
                <w:bCs/>
                <w:sz w:val="17"/>
              </w:rPr>
              <w:t>Costs reimbursed; entire profit at risk on team performance</w:t>
            </w:r>
          </w:p>
        </w:tc>
        <w:tc>
          <w:tcPr>
            <w:tcW w:w="1000" w:type="pct"/>
          </w:tcPr>
          <w:p w14:paraId="3B632103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Signatories: costs + profit-at-risk with 50/50 pain/gain to a profit-zero stop-loss; sub-tier consultants: typically conventional [I — sub-tier terms not published]</w:t>
            </w:r>
          </w:p>
        </w:tc>
      </w:tr>
      <w:tr w:rsidR="00FC3411" w:rsidRPr="007D52F1" w14:paraId="3E89A432" w14:textId="77777777" w:rsidTr="007D5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57C3FE07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Liability</w:t>
            </w:r>
          </w:p>
        </w:tc>
        <w:tc>
          <w:tcPr>
            <w:tcW w:w="1000" w:type="pct"/>
          </w:tcPr>
          <w:p w14:paraId="14F53C1F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Conventional professional liability</w:t>
            </w:r>
          </w:p>
        </w:tc>
        <w:tc>
          <w:tcPr>
            <w:tcW w:w="1000" w:type="pct"/>
          </w:tcPr>
          <w:p w14:paraId="1F10221E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Conventional + flow-down</w:t>
            </w:r>
          </w:p>
        </w:tc>
        <w:tc>
          <w:tcPr>
            <w:tcW w:w="1000" w:type="pct"/>
          </w:tcPr>
          <w:p w14:paraId="48F99CDC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b/>
                <w:bCs/>
                <w:sz w:val="17"/>
              </w:rPr>
              <w:t>Mutual waiver except wilful default; insurance needs bespoke work</w:t>
            </w:r>
          </w:p>
        </w:tc>
        <w:tc>
          <w:tcPr>
            <w:tcW w:w="1000" w:type="pct"/>
          </w:tcPr>
          <w:p w14:paraId="2B037419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No-blame among signatories; sub-tier conventional [I]</w:t>
            </w:r>
          </w:p>
        </w:tc>
      </w:tr>
      <w:tr w:rsidR="00FC3411" w:rsidRPr="007D52F1" w14:paraId="3EA28852" w14:textId="77777777" w:rsidTr="007D52F1">
        <w:trPr>
          <w:cantSplit/>
        </w:trPr>
        <w:tc>
          <w:tcPr>
            <w:tcW w:w="1000" w:type="pct"/>
          </w:tcPr>
          <w:p w14:paraId="416CE616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How KOR wins the seat</w:t>
            </w:r>
          </w:p>
        </w:tc>
        <w:tc>
          <w:tcPr>
            <w:tcW w:w="1000" w:type="pct"/>
          </w:tcPr>
          <w:p w14:paraId="09C39E41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Architect relationships</w:t>
            </w:r>
          </w:p>
        </w:tc>
        <w:tc>
          <w:tcPr>
            <w:tcW w:w="1000" w:type="pct"/>
          </w:tcPr>
          <w:p w14:paraId="309AE94C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 xml:space="preserve">Contractor precon </w:t>
            </w:r>
            <w:r w:rsidRPr="007D52F1">
              <w:rPr>
                <w:sz w:val="17"/>
              </w:rPr>
              <w:lastRenderedPageBreak/>
              <w:t>relationships</w:t>
            </w:r>
          </w:p>
        </w:tc>
        <w:tc>
          <w:tcPr>
            <w:tcW w:w="1000" w:type="pct"/>
          </w:tcPr>
          <w:p w14:paraId="41F4DF9A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b/>
                <w:bCs/>
                <w:sz w:val="17"/>
              </w:rPr>
              <w:lastRenderedPageBreak/>
              <w:t xml:space="preserve">Sponsor relationship </w:t>
            </w:r>
            <w:r w:rsidRPr="007D52F1">
              <w:rPr>
                <w:b/>
                <w:bCs/>
                <w:sz w:val="17"/>
              </w:rPr>
              <w:lastRenderedPageBreak/>
              <w:t>with the contractor/architect core + culture-fit interview</w:t>
            </w:r>
          </w:p>
        </w:tc>
        <w:tc>
          <w:tcPr>
            <w:tcW w:w="1000" w:type="pct"/>
          </w:tcPr>
          <w:p w14:paraId="6A32EC5C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lastRenderedPageBreak/>
              <w:t xml:space="preserve">Architect/GC pursuit-team </w:t>
            </w:r>
            <w:r w:rsidRPr="007D52F1">
              <w:rPr>
                <w:sz w:val="17"/>
              </w:rPr>
              <w:lastRenderedPageBreak/>
              <w:t>relationships (the existing playbook)</w:t>
            </w:r>
          </w:p>
        </w:tc>
      </w:tr>
    </w:tbl>
    <w:p w14:paraId="7C549823" w14:textId="77777777" w:rsidR="00FC3411" w:rsidRDefault="00C008B9">
      <w:pPr>
        <w:pStyle w:val="BodyText"/>
      </w:pPr>
      <w:r>
        <w:lastRenderedPageBreak/>
        <w:t xml:space="preserve">The practical translation: </w:t>
      </w:r>
      <w:r>
        <w:rPr>
          <w:b/>
          <w:bCs/>
        </w:rPr>
        <w:t>the entry skill KOR already has (being the firm architects and contractors want on their team) is the same skill IPD selection tests</w:t>
      </w:r>
      <w:r>
        <w:t xml:space="preserve"> — what changes is the contract you sign after you’re picked, and the commercial position it puts you in. [V]</w:t>
      </w:r>
    </w:p>
    <w:p w14:paraId="545D7B90" w14:textId="77777777" w:rsidR="00FC3411" w:rsidRDefault="00C008B9">
      <w:pPr>
        <w:pStyle w:val="Heading2"/>
      </w:pPr>
      <w:bookmarkStart w:id="4" w:name="Xe463f97609dcc78d3bf5b6d241ee12e109dbfea"/>
      <w:bookmarkEnd w:id="3"/>
      <w:r>
        <w:t>4. Alberta — the real landscape [V unless noted]</w:t>
      </w:r>
    </w:p>
    <w:p w14:paraId="215A1F1A" w14:textId="77777777" w:rsidR="00FC3411" w:rsidRDefault="00C008B9">
      <w:pPr>
        <w:pStyle w:val="FirstParagraph"/>
      </w:pPr>
      <w:r>
        <w:rPr>
          <w:b/>
          <w:bCs/>
        </w:rPr>
        <w:t>The owner club (2015–2026):</w:t>
      </w:r>
      <w:r>
        <w:t xml:space="preserve"> </w:t>
      </w:r>
      <w:r>
        <w:t xml:space="preserve">Edmonton Public School Board (the flagship — a bundled multi-school IPD program), Red Deer Catholic (Alberta’s first publicly-funded IPD, 2017), City of Edmonton (the EXPO Centre rehab was its first IPD; the Ambleside Operations Centre, completing fall 2026, is its third per the industry association — the second isn’t publicly identified), Strathcona County, EPCOR (utility/civil), Red Deer Polytechnic, and the private Mosaic Centre. </w:t>
      </w:r>
      <w:r>
        <w:rPr>
          <w:b/>
          <w:bCs/>
        </w:rPr>
        <w:t>Calgary’s school boards run conventional tendering; AHS/Covenant use CM/DB/P3; Alberta Infrastructure has no IPD framework</w:t>
      </w:r>
      <w:r>
        <w:t xml:space="preserve"> — its alternative-delivery strategy is P3 (e.g., the Concert-Bird six-school DBFM bundle, which is not IPD). </w:t>
      </w:r>
      <w:r>
        <w:rPr>
          <w:b/>
          <w:bCs/>
        </w:rPr>
        <w:t>Key projects and their teams:</w:t>
      </w:r>
    </w:p>
    <w:tbl>
      <w:tblPr>
        <w:tblStyle w:val="GridTable4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2088"/>
        <w:gridCol w:w="2088"/>
        <w:gridCol w:w="2088"/>
        <w:gridCol w:w="2088"/>
        <w:gridCol w:w="2088"/>
      </w:tblGrid>
      <w:tr w:rsidR="00FC3411" w:rsidRPr="007D52F1" w14:paraId="5EAE1512" w14:textId="77777777" w:rsidTr="007D52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000" w:type="pct"/>
          </w:tcPr>
          <w:p w14:paraId="1967EF7B" w14:textId="77777777" w:rsidR="00FC3411" w:rsidRPr="007D52F1" w:rsidRDefault="00C008B9">
            <w:pPr>
              <w:pStyle w:val="Compact"/>
              <w:rPr>
                <w:b w:val="0"/>
                <w:sz w:val="17"/>
              </w:rPr>
            </w:pPr>
            <w:r w:rsidRPr="007D52F1">
              <w:rPr>
                <w:b w:val="0"/>
                <w:sz w:val="17"/>
              </w:rPr>
              <w:t>Project</w:t>
            </w:r>
          </w:p>
        </w:tc>
        <w:tc>
          <w:tcPr>
            <w:tcW w:w="1000" w:type="pct"/>
          </w:tcPr>
          <w:p w14:paraId="435AFCA7" w14:textId="77777777" w:rsidR="00FC3411" w:rsidRPr="007D52F1" w:rsidRDefault="00C008B9">
            <w:pPr>
              <w:pStyle w:val="Compact"/>
              <w:rPr>
                <w:b w:val="0"/>
                <w:sz w:val="17"/>
              </w:rPr>
            </w:pPr>
            <w:r w:rsidRPr="007D52F1">
              <w:rPr>
                <w:b w:val="0"/>
                <w:sz w:val="17"/>
              </w:rPr>
              <w:t>Owner</w:t>
            </w:r>
          </w:p>
        </w:tc>
        <w:tc>
          <w:tcPr>
            <w:tcW w:w="1000" w:type="pct"/>
          </w:tcPr>
          <w:p w14:paraId="149B6AA3" w14:textId="77777777" w:rsidR="00FC3411" w:rsidRPr="007D52F1" w:rsidRDefault="00C008B9">
            <w:pPr>
              <w:pStyle w:val="Compact"/>
              <w:rPr>
                <w:b w:val="0"/>
                <w:sz w:val="17"/>
              </w:rPr>
            </w:pPr>
            <w:r w:rsidRPr="007D52F1">
              <w:rPr>
                <w:b w:val="0"/>
                <w:sz w:val="17"/>
              </w:rPr>
              <w:t>Contractor</w:t>
            </w:r>
          </w:p>
        </w:tc>
        <w:tc>
          <w:tcPr>
            <w:tcW w:w="1000" w:type="pct"/>
          </w:tcPr>
          <w:p w14:paraId="2956AC22" w14:textId="77777777" w:rsidR="00FC3411" w:rsidRPr="007D52F1" w:rsidRDefault="00C008B9">
            <w:pPr>
              <w:pStyle w:val="Compact"/>
              <w:rPr>
                <w:b w:val="0"/>
                <w:sz w:val="17"/>
              </w:rPr>
            </w:pPr>
            <w:r w:rsidRPr="007D52F1">
              <w:rPr>
                <w:b w:val="0"/>
                <w:sz w:val="17"/>
              </w:rPr>
              <w:t>Architect</w:t>
            </w:r>
          </w:p>
        </w:tc>
        <w:tc>
          <w:tcPr>
            <w:tcW w:w="1000" w:type="pct"/>
          </w:tcPr>
          <w:p w14:paraId="7D1661AD" w14:textId="77777777" w:rsidR="00FC3411" w:rsidRPr="007D52F1" w:rsidRDefault="00C008B9">
            <w:pPr>
              <w:pStyle w:val="Compact"/>
              <w:rPr>
                <w:b w:val="0"/>
                <w:sz w:val="17"/>
              </w:rPr>
            </w:pPr>
            <w:r w:rsidRPr="007D52F1">
              <w:rPr>
                <w:b w:val="0"/>
                <w:sz w:val="17"/>
              </w:rPr>
              <w:t>Structural</w:t>
            </w:r>
          </w:p>
        </w:tc>
      </w:tr>
      <w:tr w:rsidR="00FC3411" w:rsidRPr="007D52F1" w14:paraId="4B74CB2C" w14:textId="77777777" w:rsidTr="007D5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576B2AAE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Mosaic Centre, Edmonton (Alberta’s first IPD, 2015)</w:t>
            </w:r>
          </w:p>
        </w:tc>
        <w:tc>
          <w:tcPr>
            <w:tcW w:w="1000" w:type="pct"/>
          </w:tcPr>
          <w:p w14:paraId="45513891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Private</w:t>
            </w:r>
          </w:p>
        </w:tc>
        <w:tc>
          <w:tcPr>
            <w:tcW w:w="1000" w:type="pct"/>
          </w:tcPr>
          <w:p w14:paraId="57F3E6F8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Chandos</w:t>
            </w:r>
          </w:p>
        </w:tc>
        <w:tc>
          <w:tcPr>
            <w:tcW w:w="1000" w:type="pct"/>
          </w:tcPr>
          <w:p w14:paraId="42F09F32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Manasc Isaac</w:t>
            </w:r>
          </w:p>
        </w:tc>
        <w:tc>
          <w:tcPr>
            <w:tcW w:w="1000" w:type="pct"/>
          </w:tcPr>
          <w:p w14:paraId="2418189B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b/>
                <w:bCs/>
                <w:sz w:val="17"/>
              </w:rPr>
              <w:t>Fast+Epp</w:t>
            </w:r>
            <w:r w:rsidRPr="007D52F1">
              <w:rPr>
                <w:sz w:val="17"/>
              </w:rPr>
              <w:t xml:space="preserve"> (Vancouver)</w:t>
            </w:r>
          </w:p>
        </w:tc>
      </w:tr>
      <w:tr w:rsidR="00FC3411" w:rsidRPr="007D52F1" w14:paraId="07CFD5B2" w14:textId="77777777" w:rsidTr="007D52F1">
        <w:trPr>
          <w:cantSplit/>
        </w:trPr>
        <w:tc>
          <w:tcPr>
            <w:tcW w:w="1000" w:type="pct"/>
          </w:tcPr>
          <w:p w14:paraId="5AA34128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Escuela Mill Creek + 5 more EPSB schools</w:t>
            </w:r>
          </w:p>
        </w:tc>
        <w:tc>
          <w:tcPr>
            <w:tcW w:w="1000" w:type="pct"/>
          </w:tcPr>
          <w:p w14:paraId="44078422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EPSB</w:t>
            </w:r>
          </w:p>
        </w:tc>
        <w:tc>
          <w:tcPr>
            <w:tcW w:w="1000" w:type="pct"/>
          </w:tcPr>
          <w:p w14:paraId="6F64D5B4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Delnor/Chandos</w:t>
            </w:r>
          </w:p>
        </w:tc>
        <w:tc>
          <w:tcPr>
            <w:tcW w:w="1000" w:type="pct"/>
          </w:tcPr>
          <w:p w14:paraId="0A6753EE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ACI + Number TEN</w:t>
            </w:r>
          </w:p>
        </w:tc>
        <w:tc>
          <w:tcPr>
            <w:tcW w:w="1000" w:type="pct"/>
          </w:tcPr>
          <w:p w14:paraId="390B768D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b/>
                <w:bCs/>
                <w:sz w:val="17"/>
              </w:rPr>
              <w:t>RJC</w:t>
            </w:r>
          </w:p>
        </w:tc>
      </w:tr>
      <w:tr w:rsidR="00FC3411" w:rsidRPr="007D52F1" w14:paraId="322C339A" w14:textId="77777777" w:rsidTr="007D5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4B45B24E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Thelma Chalifoux + Soraya Hafez schools (bundled)</w:t>
            </w:r>
          </w:p>
        </w:tc>
        <w:tc>
          <w:tcPr>
            <w:tcW w:w="1000" w:type="pct"/>
          </w:tcPr>
          <w:p w14:paraId="4BD62D5B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EPSB</w:t>
            </w:r>
          </w:p>
        </w:tc>
        <w:tc>
          <w:tcPr>
            <w:tcW w:w="1000" w:type="pct"/>
          </w:tcPr>
          <w:p w14:paraId="7296DFC9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Delnor</w:t>
            </w:r>
          </w:p>
        </w:tc>
        <w:tc>
          <w:tcPr>
            <w:tcW w:w="1000" w:type="pct"/>
          </w:tcPr>
          <w:p w14:paraId="21141928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ACI + Number TEN</w:t>
            </w:r>
          </w:p>
        </w:tc>
        <w:tc>
          <w:tcPr>
            <w:tcW w:w="1000" w:type="pct"/>
          </w:tcPr>
          <w:p w14:paraId="1B15E62E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b/>
                <w:bCs/>
                <w:sz w:val="17"/>
              </w:rPr>
              <w:t>RJC</w:t>
            </w:r>
          </w:p>
        </w:tc>
      </w:tr>
      <w:tr w:rsidR="00FC3411" w:rsidRPr="007D52F1" w14:paraId="179C1E95" w14:textId="77777777" w:rsidTr="007D52F1">
        <w:trPr>
          <w:cantSplit/>
        </w:trPr>
        <w:tc>
          <w:tcPr>
            <w:tcW w:w="1000" w:type="pct"/>
          </w:tcPr>
          <w:p w14:paraId="64C459F5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St. Joseph High School, Red Deer (first public IPD, 2017)</w:t>
            </w:r>
          </w:p>
        </w:tc>
        <w:tc>
          <w:tcPr>
            <w:tcW w:w="1000" w:type="pct"/>
          </w:tcPr>
          <w:p w14:paraId="5BBC02FD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Red Deer Catholic</w:t>
            </w:r>
          </w:p>
        </w:tc>
        <w:tc>
          <w:tcPr>
            <w:tcW w:w="1000" w:type="pct"/>
          </w:tcPr>
          <w:p w14:paraId="56CB8ED5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Chandos</w:t>
            </w:r>
          </w:p>
        </w:tc>
        <w:tc>
          <w:tcPr>
            <w:tcW w:w="1000" w:type="pct"/>
          </w:tcPr>
          <w:p w14:paraId="5A3362EF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Group2</w:t>
            </w:r>
          </w:p>
        </w:tc>
        <w:tc>
          <w:tcPr>
            <w:tcW w:w="1000" w:type="pct"/>
          </w:tcPr>
          <w:p w14:paraId="006757B3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—</w:t>
            </w:r>
          </w:p>
        </w:tc>
      </w:tr>
      <w:tr w:rsidR="00FC3411" w:rsidRPr="007D52F1" w14:paraId="20F61CBF" w14:textId="77777777" w:rsidTr="007D5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5B4E0894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lastRenderedPageBreak/>
              <w:t>St. Lorenzo Ruiz School, Red Deer</w:t>
            </w:r>
          </w:p>
        </w:tc>
        <w:tc>
          <w:tcPr>
            <w:tcW w:w="1000" w:type="pct"/>
          </w:tcPr>
          <w:p w14:paraId="5BAC04CA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Red Deer Catholic</w:t>
            </w:r>
          </w:p>
        </w:tc>
        <w:tc>
          <w:tcPr>
            <w:tcW w:w="1000" w:type="pct"/>
          </w:tcPr>
          <w:p w14:paraId="7140A26E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Clark Builders</w:t>
            </w:r>
          </w:p>
        </w:tc>
        <w:tc>
          <w:tcPr>
            <w:tcW w:w="1000" w:type="pct"/>
          </w:tcPr>
          <w:p w14:paraId="57A44920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Group2</w:t>
            </w:r>
          </w:p>
        </w:tc>
        <w:tc>
          <w:tcPr>
            <w:tcW w:w="1000" w:type="pct"/>
          </w:tcPr>
          <w:p w14:paraId="54963182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b/>
                <w:bCs/>
                <w:sz w:val="17"/>
              </w:rPr>
              <w:t>RJC</w:t>
            </w:r>
          </w:p>
        </w:tc>
      </w:tr>
      <w:tr w:rsidR="00FC3411" w:rsidRPr="007D52F1" w14:paraId="7B9DE0F0" w14:textId="77777777" w:rsidTr="007D52F1">
        <w:trPr>
          <w:cantSplit/>
        </w:trPr>
        <w:tc>
          <w:tcPr>
            <w:tcW w:w="1000" w:type="pct"/>
          </w:tcPr>
          <w:p w14:paraId="1CB9A108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Red Deer Polytechnic Residence (mass timber)</w:t>
            </w:r>
          </w:p>
        </w:tc>
        <w:tc>
          <w:tcPr>
            <w:tcW w:w="1000" w:type="pct"/>
          </w:tcPr>
          <w:p w14:paraId="18637AFD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RDP</w:t>
            </w:r>
          </w:p>
        </w:tc>
        <w:tc>
          <w:tcPr>
            <w:tcW w:w="1000" w:type="pct"/>
          </w:tcPr>
          <w:p w14:paraId="3B71EF89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Clark Builders</w:t>
            </w:r>
          </w:p>
        </w:tc>
        <w:tc>
          <w:tcPr>
            <w:tcW w:w="1000" w:type="pct"/>
          </w:tcPr>
          <w:p w14:paraId="1CFF3A61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Reimagine</w:t>
            </w:r>
          </w:p>
        </w:tc>
        <w:tc>
          <w:tcPr>
            <w:tcW w:w="1000" w:type="pct"/>
          </w:tcPr>
          <w:p w14:paraId="066F6C64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b/>
                <w:bCs/>
                <w:sz w:val="17"/>
              </w:rPr>
              <w:t>RJC</w:t>
            </w:r>
          </w:p>
        </w:tc>
      </w:tr>
      <w:tr w:rsidR="00FC3411" w:rsidRPr="007D52F1" w14:paraId="794F2A6D" w14:textId="77777777" w:rsidTr="007D5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72CB4242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Drayton Valley Aquatic Centre</w:t>
            </w:r>
          </w:p>
        </w:tc>
        <w:tc>
          <w:tcPr>
            <w:tcW w:w="1000" w:type="pct"/>
          </w:tcPr>
          <w:p w14:paraId="7AB9CD8B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Town</w:t>
            </w:r>
          </w:p>
        </w:tc>
        <w:tc>
          <w:tcPr>
            <w:tcW w:w="1000" w:type="pct"/>
          </w:tcPr>
          <w:p w14:paraId="450F392B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Chandos</w:t>
            </w:r>
          </w:p>
        </w:tc>
        <w:tc>
          <w:tcPr>
            <w:tcW w:w="1000" w:type="pct"/>
          </w:tcPr>
          <w:p w14:paraId="74110135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Group2</w:t>
            </w:r>
          </w:p>
        </w:tc>
        <w:tc>
          <w:tcPr>
            <w:tcW w:w="1000" w:type="pct"/>
          </w:tcPr>
          <w:p w14:paraId="4B683F3F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b/>
                <w:bCs/>
                <w:sz w:val="17"/>
              </w:rPr>
              <w:t>RJC</w:t>
            </w:r>
          </w:p>
        </w:tc>
      </w:tr>
      <w:tr w:rsidR="00FC3411" w:rsidRPr="007D52F1" w14:paraId="3C54978E" w14:textId="77777777" w:rsidTr="007D52F1">
        <w:trPr>
          <w:cantSplit/>
        </w:trPr>
        <w:tc>
          <w:tcPr>
            <w:tcW w:w="1000" w:type="pct"/>
          </w:tcPr>
          <w:p w14:paraId="6D1B8FEE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Garth Worthington School</w:t>
            </w:r>
          </w:p>
        </w:tc>
        <w:tc>
          <w:tcPr>
            <w:tcW w:w="1000" w:type="pct"/>
          </w:tcPr>
          <w:p w14:paraId="556D92DF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EPSB</w:t>
            </w:r>
          </w:p>
        </w:tc>
        <w:tc>
          <w:tcPr>
            <w:tcW w:w="1000" w:type="pct"/>
          </w:tcPr>
          <w:p w14:paraId="67A86720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Chandos</w:t>
            </w:r>
          </w:p>
        </w:tc>
        <w:tc>
          <w:tcPr>
            <w:tcW w:w="1000" w:type="pct"/>
          </w:tcPr>
          <w:p w14:paraId="428928F7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Group2</w:t>
            </w:r>
          </w:p>
        </w:tc>
        <w:tc>
          <w:tcPr>
            <w:tcW w:w="1000" w:type="pct"/>
          </w:tcPr>
          <w:p w14:paraId="22F56C9D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b/>
                <w:bCs/>
                <w:sz w:val="17"/>
              </w:rPr>
              <w:t>Entuitive</w:t>
            </w:r>
          </w:p>
        </w:tc>
      </w:tr>
      <w:tr w:rsidR="00FC3411" w:rsidRPr="007D52F1" w14:paraId="309D4DF2" w14:textId="77777777" w:rsidTr="007D5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1446F83B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Edmonton EXPO Centre rehab (~$100M, City’s first IPD)</w:t>
            </w:r>
          </w:p>
        </w:tc>
        <w:tc>
          <w:tcPr>
            <w:tcW w:w="1000" w:type="pct"/>
          </w:tcPr>
          <w:p w14:paraId="01ADBA84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City of Edmonton</w:t>
            </w:r>
          </w:p>
        </w:tc>
        <w:tc>
          <w:tcPr>
            <w:tcW w:w="1000" w:type="pct"/>
          </w:tcPr>
          <w:p w14:paraId="00D90D95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Delnor</w:t>
            </w:r>
          </w:p>
        </w:tc>
        <w:tc>
          <w:tcPr>
            <w:tcW w:w="1000" w:type="pct"/>
          </w:tcPr>
          <w:p w14:paraId="21EAC661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ACI</w:t>
            </w:r>
          </w:p>
        </w:tc>
        <w:tc>
          <w:tcPr>
            <w:tcW w:w="1000" w:type="pct"/>
          </w:tcPr>
          <w:p w14:paraId="46C93905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b/>
                <w:bCs/>
                <w:sz w:val="17"/>
              </w:rPr>
              <w:t>Eng-Spire</w:t>
            </w:r>
          </w:p>
        </w:tc>
      </w:tr>
      <w:tr w:rsidR="00FC3411" w:rsidRPr="007D52F1" w14:paraId="42E7F3BB" w14:textId="77777777" w:rsidTr="007D52F1">
        <w:trPr>
          <w:cantSplit/>
        </w:trPr>
        <w:tc>
          <w:tcPr>
            <w:tcW w:w="1000" w:type="pct"/>
          </w:tcPr>
          <w:p w14:paraId="1DC405E6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EPCOR Primary Effluent Channel (civil)</w:t>
            </w:r>
          </w:p>
        </w:tc>
        <w:tc>
          <w:tcPr>
            <w:tcW w:w="1000" w:type="pct"/>
          </w:tcPr>
          <w:p w14:paraId="0422F8E3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EPCOR</w:t>
            </w:r>
          </w:p>
        </w:tc>
        <w:tc>
          <w:tcPr>
            <w:tcW w:w="1000" w:type="pct"/>
          </w:tcPr>
          <w:p w14:paraId="4CB2D602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Graham</w:t>
            </w:r>
          </w:p>
        </w:tc>
        <w:tc>
          <w:tcPr>
            <w:tcW w:w="1000" w:type="pct"/>
          </w:tcPr>
          <w:p w14:paraId="03C8F7C0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n/a</w:t>
            </w:r>
          </w:p>
        </w:tc>
        <w:tc>
          <w:tcPr>
            <w:tcW w:w="1000" w:type="pct"/>
          </w:tcPr>
          <w:p w14:paraId="4FD53F3D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—</w:t>
            </w:r>
          </w:p>
        </w:tc>
      </w:tr>
      <w:tr w:rsidR="00FC3411" w:rsidRPr="007D52F1" w14:paraId="328E87BB" w14:textId="77777777" w:rsidTr="007D5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577E2E57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King’s University Science Centre ($20M, opening fall 2026)</w:t>
            </w:r>
          </w:p>
        </w:tc>
        <w:tc>
          <w:tcPr>
            <w:tcW w:w="1000" w:type="pct"/>
          </w:tcPr>
          <w:p w14:paraId="1EC49E8B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King’s University</w:t>
            </w:r>
          </w:p>
        </w:tc>
        <w:tc>
          <w:tcPr>
            <w:tcW w:w="1000" w:type="pct"/>
          </w:tcPr>
          <w:p w14:paraId="7802F34A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Delnor</w:t>
            </w:r>
          </w:p>
        </w:tc>
        <w:tc>
          <w:tcPr>
            <w:tcW w:w="1000" w:type="pct"/>
          </w:tcPr>
          <w:p w14:paraId="243C51F3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Group2</w:t>
            </w:r>
          </w:p>
        </w:tc>
        <w:tc>
          <w:tcPr>
            <w:tcW w:w="1000" w:type="pct"/>
          </w:tcPr>
          <w:p w14:paraId="392098B1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—</w:t>
            </w:r>
          </w:p>
        </w:tc>
      </w:tr>
      <w:tr w:rsidR="00FC3411" w:rsidRPr="007D52F1" w14:paraId="6750C1EF" w14:textId="77777777" w:rsidTr="007D52F1">
        <w:trPr>
          <w:cantSplit/>
        </w:trPr>
        <w:tc>
          <w:tcPr>
            <w:tcW w:w="1000" w:type="pct"/>
          </w:tcPr>
          <w:p w14:paraId="20F9EB13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b/>
                <w:bCs/>
                <w:sz w:val="17"/>
              </w:rPr>
              <w:t>Strathcona Fieldhouse ($65M, building 2026–28)</w:t>
            </w:r>
          </w:p>
        </w:tc>
        <w:tc>
          <w:tcPr>
            <w:tcW w:w="1000" w:type="pct"/>
          </w:tcPr>
          <w:p w14:paraId="2EBBFF16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Strathcona County</w:t>
            </w:r>
          </w:p>
        </w:tc>
        <w:tc>
          <w:tcPr>
            <w:tcW w:w="1000" w:type="pct"/>
          </w:tcPr>
          <w:p w14:paraId="7D35B7E5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b/>
                <w:bCs/>
                <w:sz w:val="17"/>
              </w:rPr>
              <w:t>Chandos-Bird JV</w:t>
            </w:r>
          </w:p>
        </w:tc>
        <w:tc>
          <w:tcPr>
            <w:tcW w:w="1000" w:type="pct"/>
          </w:tcPr>
          <w:p w14:paraId="10DCC248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Group2</w:t>
            </w:r>
          </w:p>
        </w:tc>
        <w:tc>
          <w:tcPr>
            <w:tcW w:w="1000" w:type="pct"/>
          </w:tcPr>
          <w:p w14:paraId="001601D4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b/>
                <w:bCs/>
                <w:sz w:val="17"/>
              </w:rPr>
              <w:t>never publicly named</w:t>
            </w:r>
          </w:p>
        </w:tc>
      </w:tr>
      <w:tr w:rsidR="00FC3411" w:rsidRPr="007D52F1" w14:paraId="6B1BE048" w14:textId="77777777" w:rsidTr="007D5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202CD634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b/>
                <w:bCs/>
                <w:sz w:val="17"/>
              </w:rPr>
              <w:t>Strathcona County Fire Station 7 — IPD-team RFP posted Oct 2025</w:t>
            </w:r>
            <w:r w:rsidRPr="007D52F1">
              <w:rPr>
                <w:sz w:val="17"/>
              </w:rPr>
              <w:t xml:space="preserve"> </w:t>
            </w:r>
            <w:r w:rsidRPr="007D52F1">
              <w:rPr>
                <w:sz w:val="17"/>
              </w:rPr>
              <w:t xml:space="preserve">(posting AB-2025-05615; required an architect, GC, structural consultant and structural trade </w:t>
            </w:r>
            <w:r w:rsidRPr="007D52F1">
              <w:rPr>
                <w:sz w:val="17"/>
              </w:rPr>
              <w:lastRenderedPageBreak/>
              <w:t>on a cost-plus-profit-at-risk IPD agreement)</w:t>
            </w:r>
          </w:p>
        </w:tc>
        <w:tc>
          <w:tcPr>
            <w:tcW w:w="1000" w:type="pct"/>
          </w:tcPr>
          <w:p w14:paraId="73224AF9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lastRenderedPageBreak/>
              <w:t>Strathcona County</w:t>
            </w:r>
          </w:p>
        </w:tc>
        <w:tc>
          <w:tcPr>
            <w:tcW w:w="1000" w:type="pct"/>
          </w:tcPr>
          <w:p w14:paraId="05A33A9B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i/>
                <w:iCs/>
                <w:sz w:val="17"/>
              </w:rPr>
              <w:t>award to watch</w:t>
            </w:r>
          </w:p>
        </w:tc>
        <w:tc>
          <w:tcPr>
            <w:tcW w:w="1000" w:type="pct"/>
          </w:tcPr>
          <w:p w14:paraId="620C016E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—</w:t>
            </w:r>
          </w:p>
        </w:tc>
        <w:tc>
          <w:tcPr>
            <w:tcW w:w="1000" w:type="pct"/>
          </w:tcPr>
          <w:p w14:paraId="019FD0DA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—</w:t>
            </w:r>
          </w:p>
        </w:tc>
      </w:tr>
    </w:tbl>
    <w:p w14:paraId="277826FD" w14:textId="77777777" w:rsidR="00FC3411" w:rsidRDefault="00C008B9">
      <w:pPr>
        <w:pStyle w:val="BodyText"/>
      </w:pPr>
      <w:r>
        <w:rPr>
          <w:b/>
          <w:bCs/>
        </w:rPr>
        <w:t>The incumbency:</w:t>
      </w:r>
      <w:r>
        <w:t xml:space="preserve"> RJC is the structural incumbent by a wide margin (its own published Alberta IPD roster lists seven projects; at least five are independently corroborated), with named regional IPD leads (Pat Elischer, Jeff Rabinovitch, Kumbo Mwanan’gonze). Entuitive holds one (Garth Worthington), </w:t>
      </w:r>
      <w:r>
        <w:rPr>
          <w:b/>
          <w:bCs/>
        </w:rPr>
        <w:t>Eng-Spire</w:t>
      </w:r>
      <w:r>
        <w:t xml:space="preserve"> </w:t>
      </w:r>
      <w:r>
        <w:t xml:space="preserve">holds one (the EXPO Centre — confirmed on its own project page and the Delnor/ACI team pages), and Fast+Epp held the first (Mosaic). Four firms total — a wider field than “RJC owns it,” and proof the seat is winnable project-by-project. </w:t>
      </w:r>
      <w:r>
        <w:rPr>
          <w:b/>
          <w:bCs/>
        </w:rPr>
        <w:t>Growth verdict, honestly:</w:t>
      </w:r>
      <w:r>
        <w:t xml:space="preserve"> steady inside the same club since ~2015, </w:t>
      </w:r>
      <w:r>
        <w:rPr>
          <w:b/>
          <w:bCs/>
        </w:rPr>
        <w:t>no new owner categories since ~2021</w:t>
      </w:r>
      <w:r>
        <w:t xml:space="preserve">. The often-quoted “60 Canadian IPD projects” </w:t>
      </w:r>
      <w:r>
        <w:t>figure dates from 2022. If someone is asking KOR about IPD in Alberta, the trigger is most likely inside this club — worth asking them which project or owner prompted it.</w:t>
      </w:r>
    </w:p>
    <w:p w14:paraId="477C8E74" w14:textId="77777777" w:rsidR="00FC3411" w:rsidRDefault="00C008B9">
      <w:pPr>
        <w:pStyle w:val="Heading2"/>
      </w:pPr>
      <w:bookmarkStart w:id="5" w:name="X93ec615fb7ea1c6d840c32cd7ba3c46afdc5c86"/>
      <w:bookmarkEnd w:id="4"/>
      <w:r>
        <w:t>5. The Alberta player map and the way in [V unless noted]</w:t>
      </w:r>
    </w:p>
    <w:p w14:paraId="1071CA1E" w14:textId="77777777" w:rsidR="00FC3411" w:rsidRDefault="00C008B9">
      <w:pPr>
        <w:numPr>
          <w:ilvl w:val="0"/>
          <w:numId w:val="4"/>
        </w:numPr>
      </w:pPr>
      <w:r>
        <w:rPr>
          <w:b/>
          <w:bCs/>
        </w:rPr>
        <w:t>Contractors:</w:t>
      </w:r>
      <w:r>
        <w:t xml:space="preserve"> </w:t>
      </w:r>
      <w:r>
        <w:rPr>
          <w:b/>
          <w:bCs/>
        </w:rPr>
        <w:t>Chandos</w:t>
      </w:r>
      <w:r>
        <w:t xml:space="preserve"> (Edmonton-founded; the most Alberta IPD delivered; Jen Hancock, VP Collaborative Construction, is the field’s most visible voice), </w:t>
      </w:r>
      <w:r>
        <w:rPr>
          <w:b/>
          <w:bCs/>
        </w:rPr>
        <w:t>Delnor</w:t>
      </w:r>
      <w:r>
        <w:t xml:space="preserve"> (EPSB schools, EXPO Centre, King’s — and was itself a first-time IPD contractor once, proof the club admits newcomers), </w:t>
      </w:r>
      <w:r>
        <w:rPr>
          <w:b/>
          <w:bCs/>
        </w:rPr>
        <w:t>Clark Builders</w:t>
      </w:r>
      <w:r>
        <w:t xml:space="preserve">, </w:t>
      </w:r>
      <w:r>
        <w:rPr>
          <w:b/>
          <w:bCs/>
        </w:rPr>
        <w:t>Graham</w:t>
      </w:r>
      <w:r>
        <w:t xml:space="preserve"> (civil/utility IPD via EPCOR; buildings language is alliance/PDB), </w:t>
      </w:r>
      <w:r>
        <w:rPr>
          <w:b/>
          <w:bCs/>
        </w:rPr>
        <w:t>Bird</w:t>
      </w:r>
      <w:r>
        <w:t xml:space="preserve"> (in Alberta via the Chandos-Bird JV; IPD-active in BC/ON).</w:t>
      </w:r>
    </w:p>
    <w:p w14:paraId="7863896E" w14:textId="77777777" w:rsidR="00FC3411" w:rsidRDefault="00C008B9">
      <w:pPr>
        <w:numPr>
          <w:ilvl w:val="0"/>
          <w:numId w:val="4"/>
        </w:numPr>
      </w:pPr>
      <w:r>
        <w:rPr>
          <w:b/>
          <w:bCs/>
        </w:rPr>
        <w:t>Architects:</w:t>
      </w:r>
      <w:r>
        <w:t xml:space="preserve"> </w:t>
      </w:r>
      <w:r>
        <w:rPr>
          <w:b/>
          <w:bCs/>
        </w:rPr>
        <w:t>ACI</w:t>
      </w:r>
      <w:r>
        <w:t xml:space="preserve"> (Jason McConaghie — principal and IPDA board member; the EPSB/EXPO thread), </w:t>
      </w:r>
      <w:r>
        <w:rPr>
          <w:b/>
          <w:bCs/>
        </w:rPr>
        <w:t>Group2</w:t>
      </w:r>
      <w:r>
        <w:t xml:space="preserve"> (Craig Webber — claims 17 IPD projects, its own count [UNVERIFIED beyond the six named in Section 4]; the Red Deer/Strathcona/King’s thread), </w:t>
      </w:r>
      <w:r>
        <w:rPr>
          <w:b/>
          <w:bCs/>
        </w:rPr>
        <w:t>Reimagine</w:t>
      </w:r>
      <w:r>
        <w:t xml:space="preserve"> (ex-Manasc Isaac; Mosaic, RDP), </w:t>
      </w:r>
      <w:r>
        <w:rPr>
          <w:b/>
          <w:bCs/>
        </w:rPr>
        <w:t>Number TEN</w:t>
      </w:r>
      <w:r>
        <w:t xml:space="preserve">. </w:t>
      </w:r>
      <w:r>
        <w:rPr>
          <w:b/>
          <w:bCs/>
        </w:rPr>
        <w:t>DIALOG: an IPDA member but zero delivered Alberta IPD found</w:t>
      </w:r>
      <w:r>
        <w:t xml:space="preserve"> </w:t>
      </w:r>
      <w:r>
        <w:t>— the forming DIALOG relationship is not an IPD door today (though their Edmonton studio is worth asking about unannounced pursuits; note DIALOG does appear in BC alliance pursuit pairings with EllisDon — Section 6).</w:t>
      </w:r>
    </w:p>
    <w:p w14:paraId="1D9C4B6E" w14:textId="77777777" w:rsidR="00FC3411" w:rsidRDefault="00C008B9">
      <w:pPr>
        <w:numPr>
          <w:ilvl w:val="0"/>
          <w:numId w:val="4"/>
        </w:numPr>
      </w:pPr>
      <w:r>
        <w:rPr>
          <w:b/>
          <w:bCs/>
        </w:rPr>
        <w:t>The room where this community actually meets:</w:t>
      </w:r>
      <w:r>
        <w:t xml:space="preserve"> the </w:t>
      </w:r>
      <w:r>
        <w:rPr>
          <w:b/>
          <w:bCs/>
        </w:rPr>
        <w:t>Integrated Project Delivery Alliance (IPDA)</w:t>
      </w:r>
      <w:r>
        <w:t xml:space="preserve"> </w:t>
      </w:r>
      <w:r>
        <w:t xml:space="preserve">— Canadian, Alberta-heavy board (WSP Structures Alberta’s Patrick Taylor is Treasurer; members include EPSB, the Cities of Edmonton and Calgary, U of A, EPCOR, Strathcona County, RJC, Stantec, DIALOG, Bird, PCL, Graham — </w:t>
      </w:r>
      <w:r>
        <w:rPr>
          <w:b/>
          <w:bCs/>
        </w:rPr>
        <w:t>KOR is not on the list</w:t>
      </w:r>
      <w:r>
        <w:t xml:space="preserve">), plus free monthly IPD “Lean Coffee” meetups in Edmonton and Calgary. </w:t>
      </w:r>
      <w:r>
        <w:rPr>
          <w:b/>
          <w:bCs/>
        </w:rPr>
        <w:t>IPDA’s 2026 national conference is in Calgary — Fairmont Palliser, November 3–4, 2026</w:t>
      </w:r>
      <w:r>
        <w:t xml:space="preserve"> </w:t>
      </w:r>
      <w:r>
        <w:t>(registration pricing not yet posted on the conference site) — the highest-value room in the country for this, and it is in Alberta this cycle.</w:t>
      </w:r>
    </w:p>
    <w:p w14:paraId="10068837" w14:textId="77777777" w:rsidR="00FC3411" w:rsidRDefault="00C008B9">
      <w:pPr>
        <w:numPr>
          <w:ilvl w:val="0"/>
          <w:numId w:val="4"/>
        </w:numPr>
      </w:pPr>
      <w:r>
        <w:rPr>
          <w:b/>
          <w:bCs/>
        </w:rPr>
        <w:t>The call list</w:t>
      </w:r>
      <w:r>
        <w:t xml:space="preserve"> — every address below passed a live mailbox deliverability check on 2026-07-03 (the one exception is labeled):</w:t>
      </w:r>
    </w:p>
    <w:tbl>
      <w:tblPr>
        <w:tblStyle w:val="GridTable4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3480"/>
        <w:gridCol w:w="3481"/>
        <w:gridCol w:w="3479"/>
      </w:tblGrid>
      <w:tr w:rsidR="00FC3411" w:rsidRPr="007D52F1" w14:paraId="3A24EF12" w14:textId="77777777" w:rsidTr="007D52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667" w:type="pct"/>
          </w:tcPr>
          <w:p w14:paraId="65A463DF" w14:textId="77777777" w:rsidR="00FC3411" w:rsidRPr="007D52F1" w:rsidRDefault="00C008B9">
            <w:pPr>
              <w:pStyle w:val="Compact"/>
              <w:rPr>
                <w:b w:val="0"/>
                <w:sz w:val="17"/>
              </w:rPr>
            </w:pPr>
            <w:r w:rsidRPr="007D52F1">
              <w:rPr>
                <w:b w:val="0"/>
                <w:sz w:val="17"/>
              </w:rPr>
              <w:t>Person</w:t>
            </w:r>
          </w:p>
        </w:tc>
        <w:tc>
          <w:tcPr>
            <w:tcW w:w="1667" w:type="pct"/>
          </w:tcPr>
          <w:p w14:paraId="6E983D32" w14:textId="77777777" w:rsidR="00FC3411" w:rsidRPr="007D52F1" w:rsidRDefault="00C008B9">
            <w:pPr>
              <w:pStyle w:val="Compact"/>
              <w:rPr>
                <w:b w:val="0"/>
                <w:sz w:val="17"/>
              </w:rPr>
            </w:pPr>
            <w:r w:rsidRPr="007D52F1">
              <w:rPr>
                <w:b w:val="0"/>
                <w:sz w:val="17"/>
              </w:rPr>
              <w:t>Role / why them</w:t>
            </w:r>
          </w:p>
        </w:tc>
        <w:tc>
          <w:tcPr>
            <w:tcW w:w="1667" w:type="pct"/>
          </w:tcPr>
          <w:p w14:paraId="6170A98A" w14:textId="77777777" w:rsidR="00FC3411" w:rsidRPr="007D52F1" w:rsidRDefault="00C008B9">
            <w:pPr>
              <w:pStyle w:val="Compact"/>
              <w:rPr>
                <w:b w:val="0"/>
                <w:sz w:val="17"/>
              </w:rPr>
            </w:pPr>
            <w:r w:rsidRPr="007D52F1">
              <w:rPr>
                <w:b w:val="0"/>
                <w:sz w:val="17"/>
              </w:rPr>
              <w:t>Email</w:t>
            </w:r>
          </w:p>
        </w:tc>
      </w:tr>
      <w:tr w:rsidR="00FC3411" w:rsidRPr="007D52F1" w14:paraId="21098351" w14:textId="77777777" w:rsidTr="007D5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35F45A82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b/>
                <w:bCs/>
                <w:sz w:val="17"/>
              </w:rPr>
              <w:t>Jason McConaghie</w:t>
            </w:r>
          </w:p>
        </w:tc>
        <w:tc>
          <w:tcPr>
            <w:tcW w:w="1667" w:type="pct"/>
          </w:tcPr>
          <w:p w14:paraId="7A410650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Principal, ACI + IPDA board — the strongest single door into Edmonton IPD</w:t>
            </w:r>
          </w:p>
        </w:tc>
        <w:tc>
          <w:tcPr>
            <w:tcW w:w="1667" w:type="pct"/>
          </w:tcPr>
          <w:p w14:paraId="2B9C2A24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jmcconaghie@aci-arch.com</w:t>
            </w:r>
          </w:p>
        </w:tc>
      </w:tr>
      <w:tr w:rsidR="00FC3411" w:rsidRPr="007D52F1" w14:paraId="5AF0075C" w14:textId="77777777" w:rsidTr="007D52F1">
        <w:trPr>
          <w:cantSplit/>
        </w:trPr>
        <w:tc>
          <w:tcPr>
            <w:tcW w:w="1667" w:type="pct"/>
          </w:tcPr>
          <w:p w14:paraId="04FF84E9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b/>
                <w:bCs/>
                <w:sz w:val="17"/>
              </w:rPr>
              <w:t>Craig Webber</w:t>
            </w:r>
          </w:p>
        </w:tc>
        <w:tc>
          <w:tcPr>
            <w:tcW w:w="1667" w:type="pct"/>
          </w:tcPr>
          <w:p w14:paraId="599A80E3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 xml:space="preserve">Principal, Group2 — </w:t>
            </w:r>
            <w:r w:rsidRPr="007D52F1">
              <w:rPr>
                <w:b/>
                <w:bCs/>
                <w:sz w:val="17"/>
              </w:rPr>
              <w:t>Past President of the IPDA</w:t>
            </w:r>
            <w:r w:rsidRPr="007D52F1">
              <w:rPr>
                <w:sz w:val="17"/>
              </w:rPr>
              <w:t>; the most experienced IPD architect in Alberta</w:t>
            </w:r>
          </w:p>
        </w:tc>
        <w:tc>
          <w:tcPr>
            <w:tcW w:w="1667" w:type="pct"/>
          </w:tcPr>
          <w:p w14:paraId="174F5EAE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craig.webber@group2.ca</w:t>
            </w:r>
          </w:p>
        </w:tc>
      </w:tr>
      <w:tr w:rsidR="00FC3411" w:rsidRPr="007D52F1" w14:paraId="0C1AD9C0" w14:textId="77777777" w:rsidTr="007D5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45573F92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b/>
                <w:bCs/>
                <w:sz w:val="17"/>
              </w:rPr>
              <w:t>Jen Hancock</w:t>
            </w:r>
          </w:p>
        </w:tc>
        <w:tc>
          <w:tcPr>
            <w:tcW w:w="1667" w:type="pct"/>
          </w:tcPr>
          <w:p w14:paraId="3F2E9423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VP Collaborative Construction, Chandos — the field’s most visible practice leader</w:t>
            </w:r>
          </w:p>
        </w:tc>
        <w:tc>
          <w:tcPr>
            <w:tcW w:w="1667" w:type="pct"/>
          </w:tcPr>
          <w:p w14:paraId="78F5E338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jhancock@chandos.com</w:t>
            </w:r>
          </w:p>
        </w:tc>
      </w:tr>
      <w:tr w:rsidR="00FC3411" w:rsidRPr="007D52F1" w14:paraId="0C54BF16" w14:textId="77777777" w:rsidTr="007D52F1">
        <w:trPr>
          <w:cantSplit/>
        </w:trPr>
        <w:tc>
          <w:tcPr>
            <w:tcW w:w="1667" w:type="pct"/>
          </w:tcPr>
          <w:p w14:paraId="7D205EB5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b/>
                <w:bCs/>
                <w:sz w:val="17"/>
              </w:rPr>
              <w:t>Lindsay Worton</w:t>
            </w:r>
          </w:p>
        </w:tc>
        <w:tc>
          <w:tcPr>
            <w:tcW w:w="1667" w:type="pct"/>
          </w:tcPr>
          <w:p w14:paraId="5DDE3C4A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Chandos; IPDA Education Co-Chair</w:t>
            </w:r>
          </w:p>
        </w:tc>
        <w:tc>
          <w:tcPr>
            <w:tcW w:w="1667" w:type="pct"/>
          </w:tcPr>
          <w:p w14:paraId="31BBCA83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lworton@chandos.com</w:t>
            </w:r>
          </w:p>
        </w:tc>
      </w:tr>
      <w:tr w:rsidR="00FC3411" w:rsidRPr="007D52F1" w14:paraId="0EFF9F10" w14:textId="77777777" w:rsidTr="007D5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2A336B03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b/>
                <w:bCs/>
                <w:sz w:val="17"/>
              </w:rPr>
              <w:t>Padraig McCarthy</w:t>
            </w:r>
          </w:p>
        </w:tc>
        <w:tc>
          <w:tcPr>
            <w:tcW w:w="1667" w:type="pct"/>
          </w:tcPr>
          <w:p w14:paraId="119D1887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VP &amp; District Manager Calgary, Chandos — natural pre-contact before the November conference</w:t>
            </w:r>
          </w:p>
        </w:tc>
        <w:tc>
          <w:tcPr>
            <w:tcW w:w="1667" w:type="pct"/>
          </w:tcPr>
          <w:p w14:paraId="52C29CA1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pmccarthy@chandos.com</w:t>
            </w:r>
          </w:p>
        </w:tc>
      </w:tr>
      <w:tr w:rsidR="00FC3411" w:rsidRPr="007D52F1" w14:paraId="0C854A7D" w14:textId="77777777" w:rsidTr="007D52F1">
        <w:trPr>
          <w:cantSplit/>
        </w:trPr>
        <w:tc>
          <w:tcPr>
            <w:tcW w:w="1667" w:type="pct"/>
          </w:tcPr>
          <w:p w14:paraId="7F85E2BB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b/>
                <w:bCs/>
                <w:sz w:val="17"/>
              </w:rPr>
              <w:t>D’Arcy Newberry</w:t>
            </w:r>
          </w:p>
        </w:tc>
        <w:tc>
          <w:tcPr>
            <w:tcW w:w="1667" w:type="pct"/>
          </w:tcPr>
          <w:p w14:paraId="4E58096F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SVP Strategic Operations, Chandos</w:t>
            </w:r>
          </w:p>
        </w:tc>
        <w:tc>
          <w:tcPr>
            <w:tcW w:w="1667" w:type="pct"/>
          </w:tcPr>
          <w:p w14:paraId="226EB793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dnewberry@chandos.com</w:t>
            </w:r>
          </w:p>
        </w:tc>
      </w:tr>
      <w:tr w:rsidR="00FC3411" w:rsidRPr="007D52F1" w14:paraId="552A2CDD" w14:textId="77777777" w:rsidTr="007D5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708746D8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b/>
                <w:bCs/>
                <w:sz w:val="17"/>
              </w:rPr>
              <w:t>Glenn Cyrankiewicz</w:t>
            </w:r>
          </w:p>
        </w:tc>
        <w:tc>
          <w:tcPr>
            <w:tcW w:w="1667" w:type="pct"/>
          </w:tcPr>
          <w:p w14:paraId="10B5B778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CEO &amp; Principal, Delnor — the contractor that was itself once a first-time IPD entrant</w:t>
            </w:r>
          </w:p>
        </w:tc>
        <w:tc>
          <w:tcPr>
            <w:tcW w:w="1667" w:type="pct"/>
          </w:tcPr>
          <w:p w14:paraId="264C38C2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glennc@delnor.ca</w:t>
            </w:r>
          </w:p>
        </w:tc>
      </w:tr>
      <w:tr w:rsidR="00FC3411" w:rsidRPr="007D52F1" w14:paraId="594B5954" w14:textId="77777777" w:rsidTr="007D52F1">
        <w:trPr>
          <w:cantSplit/>
        </w:trPr>
        <w:tc>
          <w:tcPr>
            <w:tcW w:w="1667" w:type="pct"/>
          </w:tcPr>
          <w:p w14:paraId="4E07F193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b/>
                <w:bCs/>
                <w:sz w:val="17"/>
              </w:rPr>
              <w:t>Paul Verhesen</w:t>
            </w:r>
          </w:p>
        </w:tc>
        <w:tc>
          <w:tcPr>
            <w:tcW w:w="1667" w:type="pct"/>
          </w:tcPr>
          <w:p w14:paraId="21CB85B2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President, Clark Builders</w:t>
            </w:r>
          </w:p>
        </w:tc>
        <w:tc>
          <w:tcPr>
            <w:tcW w:w="1667" w:type="pct"/>
          </w:tcPr>
          <w:p w14:paraId="17D4C9B8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paul.verhesen@clarkbuilders.com</w:t>
            </w:r>
          </w:p>
        </w:tc>
      </w:tr>
      <w:tr w:rsidR="00FC3411" w:rsidRPr="007D52F1" w14:paraId="6CD81CA5" w14:textId="77777777" w:rsidTr="007D5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3AAEE247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b/>
                <w:bCs/>
                <w:sz w:val="17"/>
              </w:rPr>
              <w:t>Avel Espiritu</w:t>
            </w:r>
          </w:p>
        </w:tc>
        <w:tc>
          <w:tcPr>
            <w:tcW w:w="1667" w:type="pct"/>
          </w:tcPr>
          <w:p w14:paraId="622B93CF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>Host, Edmonton IPD Lean Coffee (free monthly meetup)</w:t>
            </w:r>
          </w:p>
        </w:tc>
        <w:tc>
          <w:tcPr>
            <w:tcW w:w="1667" w:type="pct"/>
          </w:tcPr>
          <w:p w14:paraId="3CD25A1F" w14:textId="77777777" w:rsidR="00FC3411" w:rsidRPr="007D52F1" w:rsidRDefault="00C008B9">
            <w:pPr>
              <w:pStyle w:val="Compact"/>
              <w:rPr>
                <w:sz w:val="17"/>
              </w:rPr>
            </w:pPr>
            <w:r w:rsidRPr="007D52F1">
              <w:rPr>
                <w:sz w:val="17"/>
              </w:rPr>
              <w:t xml:space="preserve">avel@red-5.ca </w:t>
            </w:r>
            <w:r w:rsidRPr="007D52F1">
              <w:rPr>
                <w:i/>
                <w:iCs/>
                <w:sz w:val="17"/>
              </w:rPr>
              <w:t>(published by IPDA; domain accepts all mail so the check is inconclusive)</w:t>
            </w:r>
          </w:p>
        </w:tc>
      </w:tr>
    </w:tbl>
    <w:p w14:paraId="39CFC76C" w14:textId="77777777" w:rsidR="00FC3411" w:rsidRDefault="00C008B9">
      <w:pPr>
        <w:pStyle w:val="BodyText"/>
      </w:pPr>
      <w:r>
        <w:t>Competitor contacts — RJC’s three regional IPD leads — are on file in KOR’s BD database with the same treatment; they are listed there for market awareness, not outreach.</w:t>
      </w:r>
    </w:p>
    <w:p w14:paraId="73226035" w14:textId="77777777" w:rsidR="00FC3411" w:rsidRDefault="00C008B9">
      <w:pPr>
        <w:pStyle w:val="Compact"/>
        <w:numPr>
          <w:ilvl w:val="0"/>
          <w:numId w:val="5"/>
        </w:numPr>
      </w:pPr>
      <w:r>
        <w:rPr>
          <w:b/>
          <w:bCs/>
        </w:rPr>
        <w:t>How a first-timer gets in (documented cases):</w:t>
      </w:r>
      <w:r>
        <w:t xml:space="preserve"> owners mandate IPD → the contractor/architect core cascade-selects consultants → selection interviews test collaborative behaviour and culture fit, not IPD résumé; </w:t>
      </w:r>
      <w:r>
        <w:rPr>
          <w:b/>
          <w:bCs/>
        </w:rPr>
        <w:t>training comes after selection</w:t>
      </w:r>
      <w:r>
        <w:t xml:space="preserve">. One Alberta RFP (Strathcona Fire Station 7) required the structural engineer named on the team at submission — meaning the relationship must exist </w:t>
      </w:r>
      <w:r>
        <w:rPr>
          <w:i/>
          <w:iCs/>
        </w:rPr>
        <w:t>before</w:t>
      </w:r>
      <w:r>
        <w:t xml:space="preserve"> the posting. The realistic KOR path: </w:t>
      </w:r>
      <w:r>
        <w:rPr>
          <w:b/>
          <w:bCs/>
        </w:rPr>
        <w:t>APEGA Permit to Practice first</w:t>
      </w:r>
      <w:r>
        <w:t xml:space="preserve"> (hard prerequisite, already on KOR’s Alberta list) → IPDA membership + Edmonton Lean Coffee presence → conventional work or genuine relationships with Chandos/Delnor/Clark and ACI/Group2 → be the seismic/mass-timber-capable option RJC isn’t when the next team forms.</w:t>
      </w:r>
    </w:p>
    <w:p w14:paraId="08D1D9A1" w14:textId="77777777" w:rsidR="00FC3411" w:rsidRDefault="00C008B9">
      <w:pPr>
        <w:pStyle w:val="Heading2"/>
      </w:pPr>
      <w:bookmarkStart w:id="6" w:name="bc-what-ipd-means-at-home-v-unless-noted"/>
      <w:bookmarkEnd w:id="5"/>
      <w:r>
        <w:t>6. BC — what IPD means at home [V unless noted]</w:t>
      </w:r>
    </w:p>
    <w:p w14:paraId="75969914" w14:textId="77777777" w:rsidR="00FC3411" w:rsidRDefault="00C008B9">
      <w:pPr>
        <w:pStyle w:val="Compact"/>
        <w:numPr>
          <w:ilvl w:val="0"/>
          <w:numId w:val="6"/>
        </w:numPr>
      </w:pPr>
      <w:r>
        <w:rPr>
          <w:b/>
          <w:bCs/>
        </w:rPr>
        <w:t>True IPD in BC is rare: roughly 3–5 projects ever.</w:t>
      </w:r>
      <w:r>
        <w:t xml:space="preserve"> Kamloops Canada Games Aquatic Centre (2019 — “BC’s first IPD”; WSP co-signed as an engineer party), 1st &amp; Clark Vancouver (BC Housing/City/VCH — reported as BC’s first CCDC 30, lower confidence), Burnaby Fire Halls #4 and #8 (</w:t>
      </w:r>
      <w:r>
        <w:rPr>
          <w:b/>
          <w:bCs/>
        </w:rPr>
        <w:t>RJC structural</w:t>
      </w:r>
      <w:r>
        <w:t>), and Penticton’s fire hall (</w:t>
      </w:r>
      <w:r>
        <w:rPr>
          <w:b/>
          <w:bCs/>
        </w:rPr>
        <w:t>CCDC 30-2025, signed June 2026</w:t>
      </w:r>
      <w:r>
        <w:t xml:space="preserve"> — Chandos again). Famous “BC IPD” </w:t>
      </w:r>
      <w:r>
        <w:t>claims that failed verification: UBC Brock Commons (construction management), Cowichan Hospital (Alliance, not IPD).</w:t>
      </w:r>
    </w:p>
    <w:p w14:paraId="2D7B78D2" w14:textId="77777777" w:rsidR="00FC3411" w:rsidRDefault="00C008B9">
      <w:pPr>
        <w:pStyle w:val="Compact"/>
        <w:numPr>
          <w:ilvl w:val="0"/>
          <w:numId w:val="6"/>
        </w:numPr>
      </w:pPr>
      <w:r>
        <w:rPr>
          <w:b/>
          <w:bCs/>
        </w:rPr>
        <w:t>The important BC fork for a structural engineer:</w:t>
      </w:r>
      <w:r>
        <w:t xml:space="preserve"> in the </w:t>
      </w:r>
      <w:r>
        <w:rPr>
          <w:b/>
          <w:bCs/>
        </w:rPr>
        <w:t>municipal IPD lane, owners procure the SE directly</w:t>
      </w:r>
      <w:r>
        <w:t xml:space="preserve"> — Penticton posted a standalone “Structural Consultant: IPD” RFP, and Kamloops co-evaluated engineer proposals at the owner table. That is a door KOR can walk through without a sponsor. In the </w:t>
      </w:r>
      <w:r>
        <w:rPr>
          <w:b/>
          <w:bCs/>
        </w:rPr>
        <w:t>health-capital Alliance lane</w:t>
      </w:r>
      <w:r>
        <w:t xml:space="preserve"> </w:t>
      </w:r>
      <w:r>
        <w:t xml:space="preserve">(Cowichan, Richmond, Burnaby — now the Province’s default for hospital megaprojects), the alliance agreement is bespoke (Australian-inspired, not CCDC 30), signatories stop at owner/contractor/architect, and </w:t>
      </w:r>
      <w:r>
        <w:rPr>
          <w:b/>
          <w:bCs/>
        </w:rPr>
        <w:t>engineers do not sign</w:t>
      </w:r>
      <w:r>
        <w:t xml:space="preserve"> </w:t>
      </w:r>
      <w:r>
        <w:t xml:space="preserve">— the structural seat is reached through the GC/architect pursuit team before the RFQ, which is exactly the Prime-Consultant-shaped path in KOR’s existing playbook. A real 2024 alliance RFQ (Richmond Hospital) scored prior collaborative experience at only 20/100 — and key individuals’ résumés at 50/100. </w:t>
      </w:r>
      <w:r>
        <w:rPr>
          <w:b/>
          <w:bCs/>
        </w:rPr>
        <w:t>No structural firm has been confirmed as a direct BC alliance signatory</w:t>
      </w:r>
      <w:r>
        <w:t xml:space="preserve"> (architects have been).</w:t>
      </w:r>
    </w:p>
    <w:p w14:paraId="74D6E122" w14:textId="77777777" w:rsidR="00FC3411" w:rsidRDefault="00C008B9">
      <w:pPr>
        <w:pStyle w:val="Compact"/>
        <w:numPr>
          <w:ilvl w:val="0"/>
          <w:numId w:val="6"/>
        </w:numPr>
      </w:pPr>
      <w:r>
        <w:rPr>
          <w:b/>
          <w:bCs/>
        </w:rPr>
        <w:t>Trajectory:</w:t>
      </w:r>
      <w:r>
        <w:t xml:space="preserve"> growing, under the “Alliance” </w:t>
      </w:r>
      <w:r>
        <w:t>name — Infrastructure BC’s own published alliance project count rose across its 2025 publications to roughly nine, spanning hospitals and highways [I — count assembled from IBC publications; the direction is solid, the exact tally less so], and it states it will continue using the model. Tempered by Budget 2026 capital re-pacing: Burnaby Hospital Phase 2 paused, the Fraser River Tunnel collaborative contract terminated. Next likely collaborative owners: VCH (Richmond Phases 2–3, construction 2026–29), North</w:t>
      </w:r>
      <w:r>
        <w:t>ern Health (UHNBC), municipal fire halls (Vancouver Firehalls 2 and 9 — rumoured, UNVERIFIED), BC Housing. No standing contractor–architect alliances exist in BC, but repeat pursuit pairings are visible:</w:t>
      </w:r>
      <w:r>
        <w:t xml:space="preserve"> </w:t>
      </w:r>
      <w:r>
        <w:rPr>
          <w:b/>
          <w:bCs/>
        </w:rPr>
        <w:t>EllisDon+DIALOG</w:t>
      </w:r>
      <w:r>
        <w:t>, EllisDon+Parkin/ZGF, and Chandos+Johnston Davidson.</w:t>
      </w:r>
    </w:p>
    <w:p w14:paraId="7287D52D" w14:textId="77777777" w:rsidR="00FC3411" w:rsidRDefault="00C008B9">
      <w:pPr>
        <w:pStyle w:val="Compact"/>
        <w:numPr>
          <w:ilvl w:val="0"/>
          <w:numId w:val="6"/>
        </w:numPr>
      </w:pPr>
      <w:r>
        <w:rPr>
          <w:b/>
          <w:bCs/>
        </w:rPr>
        <w:t>Regulatory reality:</w:t>
      </w:r>
      <w:r>
        <w:t xml:space="preserve"> EGBC has published nothing on IPD, alliances, or CCDC 30 (verified absence) — the only firm-level constant is the mandatory individual secondary-liability program (~$250K). There is no BC-specific legal commentary on the IPD insurance question at all; the closest is a Vancouver construction lawyer’s 2013 observation that alliance risks can be “difficult to insure.” </w:t>
      </w:r>
      <w:r>
        <w:t>KOR would be working from first principles with its broker — like everyone else.</w:t>
      </w:r>
    </w:p>
    <w:p w14:paraId="600A1B0D" w14:textId="77777777" w:rsidR="00FC3411" w:rsidRDefault="00C008B9">
      <w:pPr>
        <w:pStyle w:val="Heading2"/>
      </w:pPr>
      <w:bookmarkStart w:id="7" w:name="X6ab4b3100f097e3c14e128fec4e2da9dc68676d"/>
      <w:bookmarkEnd w:id="6"/>
      <w:r>
        <w:t>7. The money and the risk — what KOR would actually sign up for [V unless noted]</w:t>
      </w:r>
    </w:p>
    <w:p w14:paraId="7EBCBDBA" w14:textId="77777777" w:rsidR="00FC3411" w:rsidRDefault="00C008B9">
      <w:pPr>
        <w:pStyle w:val="Compact"/>
        <w:numPr>
          <w:ilvl w:val="0"/>
          <w:numId w:val="7"/>
        </w:numPr>
      </w:pPr>
      <w:r>
        <w:rPr>
          <w:b/>
          <w:bCs/>
        </w:rPr>
        <w:t>Downside is capped but real:</w:t>
      </w:r>
      <w:r>
        <w:t xml:space="preserve"> costs reimbursed, profit at risk. On an overrun — anyone’s overrun, fault-irrelevant — the shared profit pool drains toward zero. You can do excellent structural work and still earn nothing above cost because a trade partner blew its budget. That is the deal; it is also why teams pick partners so carefully.</w:t>
      </w:r>
    </w:p>
    <w:p w14:paraId="29C77A03" w14:textId="77777777" w:rsidR="00FC3411" w:rsidRDefault="00C008B9">
      <w:pPr>
        <w:pStyle w:val="Compact"/>
        <w:numPr>
          <w:ilvl w:val="0"/>
          <w:numId w:val="7"/>
        </w:numPr>
      </w:pPr>
      <w:r>
        <w:rPr>
          <w:b/>
          <w:bCs/>
        </w:rPr>
        <w:t>The published record is good:</w:t>
      </w:r>
      <w:r>
        <w:t xml:space="preserve"> every Canadian IPD study found paid the team its full profit; Mosaic Centre finished 12% under comparable market cost. </w:t>
      </w:r>
      <w:r>
        <w:rPr>
          <w:b/>
          <w:bCs/>
        </w:rPr>
        <w:t>No published data isolates a structural engineer’s profit outcome on any Canadian IPD project</w:t>
      </w:r>
      <w:r>
        <w:t xml:space="preserve"> — the claim “consultants do well in IPD” rests on team-level results and testimonials. [V for studies; the gap is the point]</w:t>
      </w:r>
    </w:p>
    <w:p w14:paraId="64A09F3A" w14:textId="77777777" w:rsidR="00FC3411" w:rsidRDefault="00C008B9">
      <w:pPr>
        <w:pStyle w:val="Compact"/>
        <w:numPr>
          <w:ilvl w:val="0"/>
          <w:numId w:val="7"/>
        </w:numPr>
      </w:pPr>
      <w:r>
        <w:rPr>
          <w:b/>
          <w:bCs/>
        </w:rPr>
        <w:t>Insurance needs real work before any signature:</w:t>
      </w:r>
      <w:r>
        <w:t xml:space="preserve"> </w:t>
      </w:r>
      <w:r>
        <w:t>standard E&amp;O has named IPD gaps (insured-vs-insured exclusions when parties share one contract; contractual-liability exclusions against the waiver regime; no cover for rectifying your own work). The documented fixes are project-specific professional liability policies or written carrier endorsements. An Aon executive has publicly flagged collaborative contracting “without the right insurance design” as an emerging industry risk. This is a broker conversation, not a form to sign.</w:t>
      </w:r>
    </w:p>
    <w:p w14:paraId="0109619F" w14:textId="77777777" w:rsidR="00FC3411" w:rsidRDefault="00C008B9">
      <w:pPr>
        <w:pStyle w:val="Compact"/>
        <w:numPr>
          <w:ilvl w:val="0"/>
          <w:numId w:val="7"/>
        </w:numPr>
      </w:pPr>
      <w:r>
        <w:rPr>
          <w:b/>
          <w:bCs/>
        </w:rPr>
        <w:t>“Aligned incentives” is not</w:t>
      </w:r>
      <w:r>
        <w:rPr>
          <w:b/>
          <w:bCs/>
        </w:rPr>
        <w:t xml:space="preserve"> “dispute-proof”:</w:t>
      </w:r>
      <w:r>
        <w:t xml:space="preserve"> an IPD project reached the NWT Supreme Court in 2025 (</w:t>
      </w:r>
      <w:r>
        <w:rPr>
          <w:i/>
          <w:iCs/>
        </w:rPr>
        <w:t>Onec Construction v. NWT Energy</w:t>
      </w:r>
      <w:r>
        <w:t>), and a Saskatchewan IPD dispute went through arbitration and appeal. Rare, but the no-suit clause has edges.</w:t>
      </w:r>
    </w:p>
    <w:p w14:paraId="5FF2B34D" w14:textId="77777777" w:rsidR="00FC3411" w:rsidRDefault="00C008B9">
      <w:pPr>
        <w:pStyle w:val="Heading2"/>
      </w:pPr>
      <w:bookmarkStart w:id="8" w:name="recommended-actions-dated"/>
      <w:bookmarkEnd w:id="7"/>
      <w:r>
        <w:t>8. Recommended actions (dated)</w:t>
      </w:r>
    </w:p>
    <w:p w14:paraId="7CD5870F" w14:textId="77777777" w:rsidR="00FC3411" w:rsidRDefault="00C008B9">
      <w:pPr>
        <w:pStyle w:val="Compact"/>
        <w:numPr>
          <w:ilvl w:val="0"/>
          <w:numId w:val="8"/>
        </w:numPr>
      </w:pPr>
      <w:r>
        <w:rPr>
          <w:b/>
          <w:bCs/>
        </w:rPr>
        <w:t>Now:</w:t>
      </w:r>
      <w:r>
        <w:t xml:space="preserve"> ask the person who raised IPD </w:t>
      </w:r>
      <w:r>
        <w:rPr>
          <w:b/>
          <w:bCs/>
        </w:rPr>
        <w:t>which project or owner prompted the question</w:t>
      </w:r>
      <w:r>
        <w:t xml:space="preserve"> — the Alberta club is small enough that the trigger is probably identifiable (the live items: Edmonton Fire Station 7 award, Strathcona Fieldhouse, King’s University, EPSB’s next bundle).</w:t>
      </w:r>
    </w:p>
    <w:p w14:paraId="26AB39F2" w14:textId="77777777" w:rsidR="00FC3411" w:rsidRDefault="00C008B9">
      <w:pPr>
        <w:pStyle w:val="Compact"/>
        <w:numPr>
          <w:ilvl w:val="0"/>
          <w:numId w:val="8"/>
        </w:numPr>
      </w:pPr>
      <w:r>
        <w:rPr>
          <w:b/>
          <w:bCs/>
        </w:rPr>
        <w:t>Now (cheap):</w:t>
      </w:r>
      <w:r>
        <w:t xml:space="preserve"> buy CCDC 30 and its Schedule A and have a principal read them — every mechanic in this document should be verified against the actual text before KOR sits in any IPD interview. (~$100 from CCDC.)</w:t>
      </w:r>
    </w:p>
    <w:p w14:paraId="11DAB72F" w14:textId="77777777" w:rsidR="00FC3411" w:rsidRDefault="00C008B9">
      <w:pPr>
        <w:pStyle w:val="Compact"/>
        <w:numPr>
          <w:ilvl w:val="0"/>
          <w:numId w:val="8"/>
        </w:numPr>
      </w:pPr>
      <w:r>
        <w:rPr>
          <w:b/>
          <w:bCs/>
        </w:rPr>
        <w:t>July–August:</w:t>
      </w:r>
      <w:r>
        <w:t xml:space="preserve"> progress the </w:t>
      </w:r>
      <w:r>
        <w:rPr>
          <w:b/>
          <w:bCs/>
        </w:rPr>
        <w:t>APEGA Permit to Practice</w:t>
      </w:r>
      <w:r>
        <w:t xml:space="preserve"> — it gates everything in Alberta, IPD included.</w:t>
      </w:r>
    </w:p>
    <w:p w14:paraId="0EB23761" w14:textId="77777777" w:rsidR="00FC3411" w:rsidRDefault="00C008B9">
      <w:pPr>
        <w:pStyle w:val="Compact"/>
        <w:numPr>
          <w:ilvl w:val="0"/>
          <w:numId w:val="8"/>
        </w:numPr>
      </w:pPr>
      <w:r>
        <w:rPr>
          <w:b/>
          <w:bCs/>
        </w:rPr>
        <w:t>September:</w:t>
      </w:r>
      <w:r>
        <w:t xml:space="preserve"> join </w:t>
      </w:r>
      <w:r>
        <w:rPr>
          <w:b/>
          <w:bCs/>
        </w:rPr>
        <w:t>IPDA</w:t>
      </w:r>
      <w:r>
        <w:t xml:space="preserve"> and start showing up at the </w:t>
      </w:r>
      <w:r>
        <w:rPr>
          <w:b/>
          <w:bCs/>
        </w:rPr>
        <w:t>Edmonton Lean Coffee</w:t>
      </w:r>
      <w:r>
        <w:t xml:space="preserve"> (free, monthly). Both RJC and DIALOG are already members; KOR’s absence is visible.</w:t>
      </w:r>
    </w:p>
    <w:p w14:paraId="66034BA5" w14:textId="77777777" w:rsidR="00FC3411" w:rsidRDefault="00C008B9">
      <w:pPr>
        <w:pStyle w:val="Compact"/>
        <w:numPr>
          <w:ilvl w:val="0"/>
          <w:numId w:val="8"/>
        </w:numPr>
      </w:pPr>
      <w:r>
        <w:rPr>
          <w:b/>
          <w:bCs/>
        </w:rPr>
        <w:t>By early fall: register for the IPDA national conference — Calgary, Fairmont Palliser, November 3–4, 2026</w:t>
      </w:r>
      <w:r>
        <w:t xml:space="preserve"> (pricing not yet posted — watch the conference page). One trip puts KOR in front of the entire Canadian IPD community, in Alberta, this cycle.</w:t>
      </w:r>
    </w:p>
    <w:p w14:paraId="2779D6C1" w14:textId="77777777" w:rsidR="00FC3411" w:rsidRDefault="00C008B9">
      <w:pPr>
        <w:pStyle w:val="Compact"/>
        <w:numPr>
          <w:ilvl w:val="0"/>
          <w:numId w:val="8"/>
        </w:numPr>
      </w:pPr>
      <w:r>
        <w:rPr>
          <w:b/>
          <w:bCs/>
        </w:rPr>
        <w:t>Before any pursuit:</w:t>
      </w:r>
      <w:r>
        <w:t xml:space="preserve"> broker conversation on E&amp;O vs project-specific cover for multi-party contracts (Section 7) — and price it into any IPD fee.</w:t>
      </w:r>
    </w:p>
    <w:p w14:paraId="08306D7A" w14:textId="77777777" w:rsidR="00FC3411" w:rsidRDefault="00C008B9">
      <w:pPr>
        <w:pStyle w:val="Compact"/>
        <w:numPr>
          <w:ilvl w:val="0"/>
          <w:numId w:val="8"/>
        </w:numPr>
      </w:pPr>
      <w:r>
        <w:rPr>
          <w:b/>
          <w:bCs/>
        </w:rPr>
        <w:t>Watch (Alberta):</w:t>
      </w:r>
      <w:r>
        <w:t xml:space="preserve"> </w:t>
      </w:r>
      <w:r>
        <w:t>Strathcona County’s Fire Station 7 IPD award (which structural engineer got the seat?); the Strathcona Fieldhouse SE identity; EPSB’s next school bundle.</w:t>
      </w:r>
    </w:p>
    <w:p w14:paraId="44E4A01C" w14:textId="77777777" w:rsidR="00FC3411" w:rsidRDefault="00C008B9">
      <w:pPr>
        <w:pStyle w:val="Compact"/>
        <w:numPr>
          <w:ilvl w:val="0"/>
          <w:numId w:val="8"/>
        </w:numPr>
      </w:pPr>
      <w:r>
        <w:rPr>
          <w:b/>
          <w:bCs/>
        </w:rPr>
        <w:t>Watch (BC):</w:t>
      </w:r>
      <w:r>
        <w:t xml:space="preserve"> municipal IPD postings — the Penticton precedent means </w:t>
      </w:r>
      <w:r>
        <w:rPr>
          <w:b/>
          <w:bCs/>
        </w:rPr>
        <w:t>direct structural-engineer IPD RFPs now exist in BC</w:t>
      </w:r>
      <w:r>
        <w:t>; and keep the health-alliance path running through architect relationships per the existing playbook (Richmond Phases 2–3 and UHNBC are the live ones).</w:t>
      </w:r>
    </w:p>
    <w:p w14:paraId="11DF3442" w14:textId="77777777" w:rsidR="00FC3411" w:rsidRDefault="00C008B9">
      <w:pPr>
        <w:pStyle w:val="Heading2"/>
      </w:pPr>
      <w:bookmarkStart w:id="9" w:name="what-we-could-not-verify-open-items"/>
      <w:bookmarkEnd w:id="8"/>
      <w:r>
        <w:t>9. What we could not verify (open items)</w:t>
      </w:r>
    </w:p>
    <w:p w14:paraId="3AE47289" w14:textId="77777777" w:rsidR="00FC3411" w:rsidRDefault="00C008B9">
      <w:pPr>
        <w:pStyle w:val="FirstParagraph"/>
      </w:pPr>
      <w:r>
        <w:t>The structural engineer on Strathcona Fieldhouse (county communications never itemize engineering disciplines — the award staff report on the county’s meeting portal would name it; a browser check of Q1–Q2 2024 agendas is the concrete next step); the Fire Station 7 award (unannounced as of 2026-07-03; the county’s Budget 2026 release moved the station’s opening from 2028 to mid-2029); CCDC 30’s actual contract text (paywalled — all mechanics herein rest on 2+ corroborating secondary sources each; hence acti</w:t>
      </w:r>
      <w:r>
        <w:t>on 2); any SE-specific profit outcome on a Canadian IPD project (none published); the EPCOR Biogas IPD RFP (single-source lead); Vancouver Firehalls 2 &amp; 9 as IPD (rumour); DIALOG’s unannounced pursuits; the exact contract path of sub-tier consultants on BC alliance hospitals (e.g., the structural engineer’s terms on Cowichan sit below the published signing tier); three Alberta school projects attributed to the IPD program on inference only (Alex Janvier, East Chappelle, Morrin).</w:t>
      </w:r>
    </w:p>
    <w:p w14:paraId="690AD233" w14:textId="77777777" w:rsidR="00FC3411" w:rsidRDefault="00C008B9">
      <w:r>
        <w:pict w14:anchorId="62DA5587">
          <v:rect id="_x0000_i1026" style="width:0;height:1.5pt" o:hralign="center" o:hrstd="t" o:hr="t"/>
        </w:pict>
      </w:r>
    </w:p>
    <w:p w14:paraId="5F2EE5F6" w14:textId="77777777" w:rsidR="00FC3411" w:rsidRDefault="00C008B9">
      <w:pPr>
        <w:pStyle w:val="Heading2"/>
      </w:pPr>
      <w:bookmarkStart w:id="10" w:name="appendix-source-list-primary"/>
      <w:bookmarkEnd w:id="9"/>
      <w:r>
        <w:t>Appendix — source list (primary)</w:t>
      </w:r>
    </w:p>
    <w:p w14:paraId="2538FCBD" w14:textId="77777777" w:rsidR="00FC3411" w:rsidRDefault="00C008B9">
      <w:pPr>
        <w:pStyle w:val="FirstParagraph"/>
      </w:pPr>
      <w:r>
        <w:t xml:space="preserve">ccdc.org (CCDC 30) · ipda.ca (members, case studies, IPD guide, 2026 conference) · leanipd.com (Canadian IPD school studies) · chandos.com · delnor.ca · clarkbuilders.com · grahambuilds.com · bird.ca · group2.ca · aci-arch.com · numberten.com · rjc.ca (Alberta IPD roster; Red Deer Polytechnic) · fastepp.com (Mosaic) · primedmosaiccentre.com · strathcona.ca (Fieldhouse award, $65M) · majorprojects.alberta.ca · alberta.ca (School Capital Manual; alternative capital financing) · kingsu.ca (Science Centre IPD) </w:t>
      </w:r>
      <w:r>
        <w:t>· stok.com (EXPO Centre) · watercanada.net (EPCOR) · buildingtransformations.org (Dentons/KMB IPD article; Calgary Cancer Centre) · infrastructurebc.com (alliance program, project counts) · bchousing.org (1st &amp; Clark) · city of Kamloops/Penticton/Burnaby procurement records · rdnewsnow.com · sabmagazine.com · egbc.ca (verified absence of IPD guidance; secondary-liability program) · blg.com + osler.com + singleton.com + reminetwork.com (Hirst) + glaholt.com (CCDC 30 legal commentary; liability/insurance) · C</w:t>
      </w:r>
      <w:r>
        <w:t>anLII (</w:t>
      </w:r>
      <w:r>
        <w:rPr>
          <w:i/>
          <w:iCs/>
        </w:rPr>
        <w:t>Onec v. NWT Energy</w:t>
      </w:r>
      <w:r>
        <w:t xml:space="preserve">, 2025 NWTSC 56) · KOR playbook (BC health alliance mechanics, Channel 5). </w:t>
      </w:r>
      <w:r>
        <w:rPr>
          <w:i/>
          <w:iCs/>
        </w:rPr>
        <w:t xml:space="preserve">Method: four independent research streams (the Alberta landscape; contract mechanics; the player map; BC status), each checked against primary sources claim by claim, followed by an independent fact-check of the finished document. Claims that failed checking were removed rather than repeated — several projects commonly described as IPD are actually other delivery models (Calgary Fire Station #18, UBC Brock Commons, Cowichan Hospital), and the text notes each. Where the streams disagreed, the difference was </w:t>
      </w:r>
      <w:r>
        <w:rPr>
          <w:i/>
          <w:iCs/>
        </w:rPr>
        <w:t>resolved from the underlying sources (Graham’s confirmed IPD is civil work; Bird’s is via the Chandos-Bird joint venture; RJC’s count is five corroborated of seven self-reported). A same-day follow-up check of municipal records identified the EXPO Centre structural engineer (Eng-Spire) and confirmed the Fire Station 7 award remained unannounced, with the station’s opening moved to mid-2029. Prepared 2026-07-03.</w:t>
      </w:r>
      <w:bookmarkEnd w:id="0"/>
      <w:bookmarkEnd w:id="10"/>
    </w:p>
    <w:sectPr w:rsidR="00FC3411" w:rsidSect="007D52F1">
      <w:footnotePr>
        <w:numRestart w:val="eachSect"/>
      </w:footnotePr>
      <w:pgSz w:w="12240" w:h="15840"/>
      <w:pgMar w:top="860" w:right="1000" w:bottom="860" w:left="1000" w:header="720" w:footer="720" w:gutter="0"/>
      <w:cols w:space="720"/>
      <w:docGrid w:linePitch="2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BFCFB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598DBE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DAE1E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50060134">
    <w:abstractNumId w:val="0"/>
  </w:num>
  <w:num w:numId="2" w16cid:durableId="19890932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27588381">
    <w:abstractNumId w:val="1"/>
  </w:num>
  <w:num w:numId="4" w16cid:durableId="1940990688">
    <w:abstractNumId w:val="1"/>
  </w:num>
  <w:num w:numId="5" w16cid:durableId="96298061">
    <w:abstractNumId w:val="1"/>
  </w:num>
  <w:num w:numId="6" w16cid:durableId="811290971">
    <w:abstractNumId w:val="1"/>
  </w:num>
  <w:num w:numId="7" w16cid:durableId="937756706">
    <w:abstractNumId w:val="1"/>
  </w:num>
  <w:num w:numId="8" w16cid:durableId="10136508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3411"/>
    <w:rsid w:val="001674FA"/>
    <w:rsid w:val="007D52F1"/>
    <w:rsid w:val="00C008B9"/>
    <w:rsid w:val="00FC3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E4F9D"/>
  <w15:docId w15:val="{23B8C5D7-89C6-4698-A0A8-EB85E3647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40"/>
    </w:pPr>
    <w:rPr>
      <w:rFonts w:ascii="Calibri" w:hAnsi="Calibri" w:cs="Calibri"/>
      <w:sz w:val="18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00" w:after="20"/>
      <w:outlineLvl w:val="0"/>
    </w:pPr>
    <w:rPr>
      <w:rFonts w:eastAsiaTheme="majorEastAsia"/>
      <w:b/>
      <w:color w:val="1F3B5F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/>
      <w:outlineLvl w:val="2"/>
    </w:pPr>
    <w:rPr>
      <w:rFonts w:eastAsiaTheme="majorEastAsia"/>
      <w:b/>
      <w:color w:val="44546A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before="100" w:after="20"/>
      <w:contextualSpacing/>
      <w:jc w:val="center"/>
    </w:pPr>
    <w:rPr>
      <w:rFonts w:eastAsiaTheme="majorEastAsia"/>
      <w:b/>
      <w:color w:val="1F3B5F"/>
      <w:sz w:val="2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eastAsiaTheme="majorEastAsia" w:hAnsi="Calibri" w:cs="Calibri"/>
      <w:b/>
      <w:color w:val="1F3B5F"/>
      <w:sz w:val="2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eastAsiaTheme="majorEastAsia" w:hAnsi="Calibri" w:cs="Calibri"/>
      <w:b/>
      <w:color w:val="1F3B5F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eastAsiaTheme="majorEastAsia" w:hAnsi="Calibri" w:cs="Calibr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eastAsiaTheme="majorEastAsia" w:hAnsi="Calibri" w:cs="Calibri"/>
      <w:b/>
      <w:color w:val="44546A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ridTable4">
    <w:name w:val="Grid Table 4"/>
    <w:basedOn w:val="TableNormal"/>
    <w:uiPriority w:val="49"/>
    <w:rsid w:val="007D52F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3402</Words>
  <Characters>19396</Characters>
  <Application>Microsoft Office Word</Application>
  <DocSecurity>0</DocSecurity>
  <Lines>161</Lines>
  <Paragraphs>45</Paragraphs>
  <ScaleCrop>false</ScaleCrop>
  <Company/>
  <LinksUpToDate>false</LinksUpToDate>
  <CharactersWithSpaces>22753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Ian Lalonde</cp:lastModifiedBy>
  <cp:revision>2</cp:revision>
  <dcterms:created xsi:type="dcterms:W3CDTF">2026-07-03T22:59:00Z</dcterms:created>
  <dcterms:modified xsi:type="dcterms:W3CDTF">2026-07-03T22:59:00Z</dcterms:modified>
</cp:coreProperties>
</file>