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E9C1D" w14:textId="77777777" w:rsidR="00F51AF5" w:rsidRDefault="00B64DB0">
      <w:pPr>
        <w:pStyle w:val="Heading1"/>
      </w:pPr>
      <w:bookmarkStart w:id="0" w:name="Xed06a009643c624af16207b5607058f35b6a284"/>
      <w:r>
        <w:t>Ledcor — Structural Engineering Opportunity Dossier</w:t>
      </w:r>
    </w:p>
    <w:p w14:paraId="30D7B132" w14:textId="77777777" w:rsidR="00F51AF5" w:rsidRDefault="00B64DB0">
      <w:pPr>
        <w:pStyle w:val="FirstParagraph"/>
      </w:pPr>
      <w:r>
        <w:rPr>
          <w:b/>
          <w:bCs/>
        </w:rPr>
        <w:t>KOR Structural · Prepared 2026-07-01 · Updated 2026-07-02 (invoiced revenue from the ledger; every pursuit status re-verified against Deltek; US development arm added) · Every claim carries a source; anything unverified is labeled, and internal figures can be checked directly in Deltek</w:t>
      </w:r>
    </w:p>
    <w:p w14:paraId="5DB58887" w14:textId="77777777" w:rsidR="00F51AF5" w:rsidRDefault="00B64DB0">
      <w:pPr>
        <w:pStyle w:val="BodyText"/>
      </w:pPr>
      <w:r>
        <w:rPr>
          <w:b/>
          <w:bCs/>
        </w:rPr>
        <w:t>How to read this:</w:t>
      </w:r>
      <w:r>
        <w:t xml:space="preserve"> claims are </w:t>
      </w:r>
      <w:r>
        <w:rPr>
          <w:b/>
          <w:bCs/>
        </w:rPr>
        <w:t>[V]</w:t>
      </w:r>
      <w:r>
        <w:t xml:space="preserve"> (verified against a primary source — the URL is in the source list), </w:t>
      </w:r>
      <w:r>
        <w:rPr>
          <w:b/>
          <w:bCs/>
        </w:rPr>
        <w:t>[I]</w:t>
      </w:r>
      <w:r>
        <w:t xml:space="preserve"> (inferred — the basis is stated), or </w:t>
      </w:r>
      <w:r>
        <w:rPr>
          <w:b/>
          <w:bCs/>
        </w:rPr>
        <w:t>[KOR books]</w:t>
      </w:r>
      <w:r>
        <w:t xml:space="preserve"> </w:t>
      </w:r>
      <w:r>
        <w:t>(from KOR’s own Deltek/CRM records — check them yourself). Where the evidence is thin or negative, this document says so. Section 7 lists what we could NOT verify.</w:t>
      </w:r>
    </w:p>
    <w:p w14:paraId="18439A2F" w14:textId="77777777" w:rsidR="00F51AF5" w:rsidRDefault="00B64DB0">
      <w:r>
        <w:pict w14:anchorId="6930580A">
          <v:rect id="_x0000_i1025" style="width:0;height:1.5pt" o:hralign="center" o:hrstd="t" o:hr="t"/>
        </w:pict>
      </w:r>
    </w:p>
    <w:p w14:paraId="747EA934" w14:textId="77777777" w:rsidR="00F51AF5" w:rsidRDefault="00B64DB0">
      <w:pPr>
        <w:pStyle w:val="Heading2"/>
      </w:pPr>
      <w:bookmarkStart w:id="1" w:name="executive-summary"/>
      <w:r>
        <w:t>1. Executive summary</w:t>
      </w:r>
    </w:p>
    <w:p w14:paraId="3A2E2F92" w14:textId="77777777" w:rsidR="00F51AF5" w:rsidRDefault="00B64DB0">
      <w:pPr>
        <w:pStyle w:val="Compact"/>
        <w:numPr>
          <w:ilvl w:val="0"/>
          <w:numId w:val="2"/>
        </w:numPr>
      </w:pPr>
      <w:r>
        <w:rPr>
          <w:b/>
          <w:bCs/>
        </w:rPr>
        <w:t>Ledcor is not a prospect — it is an active KOR client.</w:t>
      </w:r>
      <w:r>
        <w:t xml:space="preserve"> KOR has </w:t>
      </w:r>
      <w:r>
        <w:rPr>
          <w:b/>
          <w:bCs/>
        </w:rPr>
        <w:t>5 won fee proposals ($560k) since April 2024</w:t>
      </w:r>
      <w:r>
        <w:t xml:space="preserve"> with the Ledcor family, the latest February 2026, and the ledger shows </w:t>
      </w:r>
      <w:r>
        <w:rPr>
          <w:b/>
          <w:bCs/>
        </w:rPr>
        <w:t>$103,600 invoiced to date, with three of the five projects billing as recently as June 2026</w:t>
      </w:r>
      <w:r>
        <w:t xml:space="preserve">. The full record, stated plainly: of eight decided fee proposals KOR </w:t>
      </w:r>
      <w:r>
        <w:rPr>
          <w:b/>
          <w:bCs/>
        </w:rPr>
        <w:t>won five and lost three</w:t>
      </w:r>
      <w:r>
        <w:t xml:space="preserve"> (Trinity 354 E 10th $175k; Hemlock Kingsway $125k; Trinity Triangle — Deltek stage LOST on all three; the winning firm was not recorded). One proposal is live (</w:t>
      </w:r>
      <w:r>
        <w:rPr>
          <w:b/>
          <w:bCs/>
        </w:rPr>
        <w:t>Steveston Richmond, $61k, submitted</w:t>
      </w:r>
      <w:r>
        <w:t xml:space="preserve">) and one pursuit is open (Deep Cove). [KOR books — Deltek project stages </w:t>
      </w:r>
      <w:r>
        <w:rPr>
          <w:vertAlign w:val="subscript"/>
        </w:rPr>
        <w:t>WDEF</w:t>
      </w:r>
      <w:r>
        <w:t>/InPursuit/LOST and LedgerAR account 4001; check them directly]</w:t>
      </w:r>
    </w:p>
    <w:p w14:paraId="18E3BB4C" w14:textId="77777777" w:rsidR="00F51AF5" w:rsidRDefault="00B64DB0">
      <w:pPr>
        <w:pStyle w:val="Compact"/>
        <w:numPr>
          <w:ilvl w:val="0"/>
          <w:numId w:val="2"/>
        </w:numPr>
      </w:pPr>
      <w:r>
        <w:t xml:space="preserve">The relationship sits with </w:t>
      </w:r>
      <w:r>
        <w:rPr>
          <w:b/>
          <w:bCs/>
        </w:rPr>
        <w:t>Ledcor’s development arm</w:t>
      </w:r>
      <w:r>
        <w:t xml:space="preserve"> </w:t>
      </w:r>
      <w:r>
        <w:t xml:space="preserve">(Ledcor Property Investments — “LPI”), largely on the </w:t>
      </w:r>
      <w:r>
        <w:rPr>
          <w:b/>
          <w:bCs/>
        </w:rPr>
        <w:t>Telus Living rental program</w:t>
      </w:r>
      <w:r>
        <w:t xml:space="preserve"> in Vancouver. </w:t>
      </w:r>
      <w:r>
        <w:rPr>
          <w:b/>
          <w:bCs/>
        </w:rPr>
        <w:t>Three of its four rezonings were approved between Nov 2025 and May 2026</w:t>
      </w:r>
      <w:r>
        <w:t xml:space="preserve"> — the program is converting toward development permits, with structural mobilization to follow over the next 12–24 months [I — typical permit-conversion timing]. No structural engineer is publicly identified on any of the four [I]; KOR’s own books answer half of that question: </w:t>
      </w:r>
      <w:r>
        <w:rPr>
          <w:b/>
          <w:bCs/>
        </w:rPr>
        <w:t>KOR holds W 10th/Arbutus and Chester, and lost the E 10th and Kingsway proposals to a competitor whose identity was not recorded</w:t>
      </w:r>
      <w:r>
        <w:t xml:space="preserve"> — the program’s structural seats are split, not KOR’s outright.</w:t>
      </w:r>
    </w:p>
    <w:p w14:paraId="7395227B" w14:textId="77777777" w:rsidR="00F51AF5" w:rsidRDefault="00B64DB0">
      <w:pPr>
        <w:pStyle w:val="Compact"/>
        <w:numPr>
          <w:ilvl w:val="0"/>
          <w:numId w:val="2"/>
        </w:numPr>
      </w:pPr>
      <w:r>
        <w:rPr>
          <w:b/>
          <w:bCs/>
        </w:rPr>
        <w:t>Ledcor’s construction arm buys structural engineering only on design-build / early-contractor-involvement work</w:t>
      </w:r>
      <w:r>
        <w:t xml:space="preserve"> — the current flagship is BC Children’s Centre for Health Complexity (Fast+Epp, completing Dec 2027); the previous one, BCIT Tall Timber (also Fast+Epp), opened Aug 2025. On its ordinary GC/CM work the </w:t>
      </w:r>
      <w:r>
        <w:rPr>
          <w:i/>
          <w:iCs/>
        </w:rPr>
        <w:t>owner or architect</w:t>
      </w:r>
      <w:r>
        <w:t xml:space="preserve"> holds the structural seat [I — synthesized from the verified project set and standard delivery practice; no single source states it as a rule]. No prequalification roster was found — entry appears relationship-based. [I]</w:t>
      </w:r>
    </w:p>
    <w:p w14:paraId="3B58BAA6" w14:textId="77777777" w:rsidR="00F51AF5" w:rsidRDefault="00B64DB0">
      <w:pPr>
        <w:pStyle w:val="Compact"/>
        <w:numPr>
          <w:ilvl w:val="0"/>
          <w:numId w:val="2"/>
        </w:numPr>
      </w:pPr>
      <w:r>
        <w:t xml:space="preserve">The expansion paths, in order of realism: </w:t>
      </w:r>
      <w:r>
        <w:rPr>
          <w:b/>
          <w:bCs/>
        </w:rPr>
        <w:t>(A)</w:t>
      </w:r>
      <w:r>
        <w:t xml:space="preserve"> close Steveston, debrief the two Telus Living losses, and contest the rest of the program from the half KOR holds; </w:t>
      </w:r>
      <w:r>
        <w:rPr>
          <w:b/>
          <w:bCs/>
        </w:rPr>
        <w:t>(B)</w:t>
      </w:r>
      <w:r>
        <w:t xml:space="preserve"> the </w:t>
      </w:r>
      <w:r>
        <w:lastRenderedPageBreak/>
        <w:t xml:space="preserve">design-build institutional lane via Ledcor’s preconstruction/BD people; </w:t>
      </w:r>
      <w:r>
        <w:rPr>
          <w:b/>
          <w:bCs/>
        </w:rPr>
        <w:t>(C)</w:t>
      </w:r>
      <w:r>
        <w:t xml:space="preserve"> </w:t>
      </w:r>
      <w:r>
        <w:t xml:space="preserve">Alberta — KOR’s own CRM already holds two open Alberta-region Ledcor engagements; </w:t>
      </w:r>
      <w:r>
        <w:rPr>
          <w:b/>
          <w:bCs/>
        </w:rPr>
        <w:t>(D)</w:t>
      </w:r>
      <w:r>
        <w:t xml:space="preserve"> mass-timber-adjacent institutional (differentiated from Fast+Epp, who hold the flagship); </w:t>
      </w:r>
      <w:r>
        <w:rPr>
          <w:b/>
          <w:bCs/>
        </w:rPr>
        <w:t>(E)</w:t>
      </w:r>
      <w:r>
        <w:t xml:space="preserve"> Ledcor’s US development arm — building right now in San Diego, inside KOR’s own US market, with a family precedent already in KOR’s books (Section 5E).</w:t>
      </w:r>
    </w:p>
    <w:p w14:paraId="55FD56C8" w14:textId="77777777" w:rsidR="00F51AF5" w:rsidRDefault="00B64DB0">
      <w:pPr>
        <w:pStyle w:val="Compact"/>
        <w:numPr>
          <w:ilvl w:val="0"/>
          <w:numId w:val="2"/>
        </w:numPr>
      </w:pPr>
      <w:r>
        <w:t xml:space="preserve">This dossier includes an honest </w:t>
      </w:r>
      <w:r>
        <w:rPr>
          <w:b/>
          <w:bCs/>
        </w:rPr>
        <w:t>risk section</w:t>
      </w:r>
      <w:r>
        <w:t xml:space="preserve"> (a federal labour-board adverse finding, a 2025 court case, soft financial figures) — the case for Ledcor stands </w:t>
      </w:r>
      <w:r>
        <w:rPr>
          <w:i/>
          <w:iCs/>
        </w:rPr>
        <w:t>with</w:t>
      </w:r>
      <w:r>
        <w:t xml:space="preserve"> </w:t>
      </w:r>
      <w:r>
        <w:t>those facts on the table, not by omitting them.</w:t>
      </w:r>
    </w:p>
    <w:p w14:paraId="72F726BF" w14:textId="77777777" w:rsidR="00F51AF5" w:rsidRDefault="00B64DB0">
      <w:pPr>
        <w:pStyle w:val="Heading2"/>
      </w:pPr>
      <w:bookmarkStart w:id="2" w:name="Xda7dba8c097b65e7d87353625a5212fd05bbdbd"/>
      <w:bookmarkEnd w:id="1"/>
      <w:r>
        <w:t>2. What KOR’s own books show [KOR books — verifiable in Deltek]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610"/>
        <w:gridCol w:w="2610"/>
        <w:gridCol w:w="2610"/>
        <w:gridCol w:w="2610"/>
      </w:tblGrid>
      <w:tr w:rsidR="00F51AF5" w:rsidRPr="008768CB" w14:paraId="33756E12" w14:textId="77777777" w:rsidTr="008768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50" w:type="pct"/>
          </w:tcPr>
          <w:p w14:paraId="0E966367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Project</w:t>
            </w:r>
          </w:p>
        </w:tc>
        <w:tc>
          <w:tcPr>
            <w:tcW w:w="1250" w:type="pct"/>
          </w:tcPr>
          <w:p w14:paraId="3A701D31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Status</w:t>
            </w:r>
          </w:p>
        </w:tc>
        <w:tc>
          <w:tcPr>
            <w:tcW w:w="1250" w:type="pct"/>
          </w:tcPr>
          <w:p w14:paraId="7A1CB22B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Fee</w:t>
            </w:r>
          </w:p>
        </w:tc>
        <w:tc>
          <w:tcPr>
            <w:tcW w:w="1250" w:type="pct"/>
          </w:tcPr>
          <w:p w14:paraId="39EC25DD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Date</w:t>
            </w:r>
          </w:p>
        </w:tc>
      </w:tr>
      <w:tr w:rsidR="00F51AF5" w:rsidRPr="008768CB" w14:paraId="785F0774" w14:textId="77777777" w:rsidTr="008768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3B0C79C3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730 Raymur Ave, Vancouver</w:t>
            </w:r>
          </w:p>
        </w:tc>
        <w:tc>
          <w:tcPr>
            <w:tcW w:w="1250" w:type="pct"/>
          </w:tcPr>
          <w:p w14:paraId="68A803C8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b/>
                <w:bCs/>
                <w:sz w:val="17"/>
              </w:rPr>
              <w:t>Won</w:t>
            </w:r>
            <w:r w:rsidRPr="008768CB">
              <w:rPr>
                <w:sz w:val="17"/>
              </w:rPr>
              <w:t xml:space="preserve"> (AP = accepted proposal)</w:t>
            </w:r>
          </w:p>
        </w:tc>
        <w:tc>
          <w:tcPr>
            <w:tcW w:w="1250" w:type="pct"/>
          </w:tcPr>
          <w:p w14:paraId="10A5F69C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$260,000</w:t>
            </w:r>
          </w:p>
        </w:tc>
        <w:tc>
          <w:tcPr>
            <w:tcW w:w="1250" w:type="pct"/>
          </w:tcPr>
          <w:p w14:paraId="49F2882D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Jun 2025</w:t>
            </w:r>
          </w:p>
        </w:tc>
      </w:tr>
      <w:tr w:rsidR="00F51AF5" w:rsidRPr="008768CB" w14:paraId="42647576" w14:textId="77777777" w:rsidTr="008768CB">
        <w:trPr>
          <w:cantSplit/>
        </w:trPr>
        <w:tc>
          <w:tcPr>
            <w:tcW w:w="1250" w:type="pct"/>
          </w:tcPr>
          <w:p w14:paraId="70ADD690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2212 W 10th Ave, Vancouver</w:t>
            </w:r>
          </w:p>
        </w:tc>
        <w:tc>
          <w:tcPr>
            <w:tcW w:w="1250" w:type="pct"/>
          </w:tcPr>
          <w:p w14:paraId="580D4208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b/>
                <w:bCs/>
                <w:sz w:val="17"/>
              </w:rPr>
              <w:t>Won</w:t>
            </w:r>
            <w:r w:rsidRPr="008768CB">
              <w:rPr>
                <w:sz w:val="17"/>
              </w:rPr>
              <w:t xml:space="preserve"> (AP)</w:t>
            </w:r>
          </w:p>
        </w:tc>
        <w:tc>
          <w:tcPr>
            <w:tcW w:w="1250" w:type="pct"/>
          </w:tcPr>
          <w:p w14:paraId="0FAB0028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$130,000</w:t>
            </w:r>
          </w:p>
        </w:tc>
        <w:tc>
          <w:tcPr>
            <w:tcW w:w="1250" w:type="pct"/>
          </w:tcPr>
          <w:p w14:paraId="2E31AA71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Apr 2024</w:t>
            </w:r>
          </w:p>
        </w:tc>
      </w:tr>
      <w:tr w:rsidR="00F51AF5" w:rsidRPr="008768CB" w14:paraId="13293AD8" w14:textId="77777777" w:rsidTr="008768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22FB037D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6486 Chester St, Vancouver</w:t>
            </w:r>
          </w:p>
        </w:tc>
        <w:tc>
          <w:tcPr>
            <w:tcW w:w="1250" w:type="pct"/>
          </w:tcPr>
          <w:p w14:paraId="12C1A12A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b/>
                <w:bCs/>
                <w:sz w:val="17"/>
              </w:rPr>
              <w:t>Won</w:t>
            </w:r>
            <w:r w:rsidRPr="008768CB">
              <w:rPr>
                <w:sz w:val="17"/>
              </w:rPr>
              <w:t xml:space="preserve"> (AP)</w:t>
            </w:r>
          </w:p>
        </w:tc>
        <w:tc>
          <w:tcPr>
            <w:tcW w:w="1250" w:type="pct"/>
          </w:tcPr>
          <w:p w14:paraId="29507810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$75,000</w:t>
            </w:r>
          </w:p>
        </w:tc>
        <w:tc>
          <w:tcPr>
            <w:tcW w:w="1250" w:type="pct"/>
          </w:tcPr>
          <w:p w14:paraId="0F1AD34F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Oct 2024</w:t>
            </w:r>
          </w:p>
        </w:tc>
      </w:tr>
      <w:tr w:rsidR="00F51AF5" w:rsidRPr="008768CB" w14:paraId="2FBC1E78" w14:textId="77777777" w:rsidTr="008768CB">
        <w:trPr>
          <w:cantSplit/>
        </w:trPr>
        <w:tc>
          <w:tcPr>
            <w:tcW w:w="1250" w:type="pct"/>
          </w:tcPr>
          <w:p w14:paraId="2FC32C56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14780 North Bluff Rd, White Rock</w:t>
            </w:r>
          </w:p>
        </w:tc>
        <w:tc>
          <w:tcPr>
            <w:tcW w:w="1250" w:type="pct"/>
          </w:tcPr>
          <w:p w14:paraId="6D88BE19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b/>
                <w:bCs/>
                <w:sz w:val="17"/>
              </w:rPr>
              <w:t>Won</w:t>
            </w:r>
            <w:r w:rsidRPr="008768CB">
              <w:rPr>
                <w:sz w:val="17"/>
              </w:rPr>
              <w:t xml:space="preserve"> (AP)</w:t>
            </w:r>
          </w:p>
        </w:tc>
        <w:tc>
          <w:tcPr>
            <w:tcW w:w="1250" w:type="pct"/>
          </w:tcPr>
          <w:p w14:paraId="31F1C3A3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$55,000</w:t>
            </w:r>
          </w:p>
        </w:tc>
        <w:tc>
          <w:tcPr>
            <w:tcW w:w="1250" w:type="pct"/>
          </w:tcPr>
          <w:p w14:paraId="22EB161D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Feb 2026</w:t>
            </w:r>
          </w:p>
        </w:tc>
      </w:tr>
      <w:tr w:rsidR="00F51AF5" w:rsidRPr="008768CB" w14:paraId="6BE2C73D" w14:textId="77777777" w:rsidTr="008768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5EE9A374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Telus Co Building W 10th, Vancouver</w:t>
            </w:r>
          </w:p>
        </w:tc>
        <w:tc>
          <w:tcPr>
            <w:tcW w:w="1250" w:type="pct"/>
          </w:tcPr>
          <w:p w14:paraId="44308C61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b/>
                <w:bCs/>
                <w:sz w:val="17"/>
              </w:rPr>
              <w:t>Won</w:t>
            </w:r>
            <w:r w:rsidRPr="008768CB">
              <w:rPr>
                <w:sz w:val="17"/>
              </w:rPr>
              <w:t xml:space="preserve"> (AP)</w:t>
            </w:r>
          </w:p>
        </w:tc>
        <w:tc>
          <w:tcPr>
            <w:tcW w:w="1250" w:type="pct"/>
          </w:tcPr>
          <w:p w14:paraId="15864D04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$40,000</w:t>
            </w:r>
          </w:p>
        </w:tc>
        <w:tc>
          <w:tcPr>
            <w:tcW w:w="1250" w:type="pct"/>
          </w:tcPr>
          <w:p w14:paraId="5C455BE2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Jul 2025</w:t>
            </w:r>
          </w:p>
        </w:tc>
      </w:tr>
      <w:tr w:rsidR="00F51AF5" w:rsidRPr="008768CB" w14:paraId="47AD3431" w14:textId="77777777" w:rsidTr="008768CB">
        <w:trPr>
          <w:cantSplit/>
        </w:trPr>
        <w:tc>
          <w:tcPr>
            <w:tcW w:w="1250" w:type="pct"/>
          </w:tcPr>
          <w:p w14:paraId="76025CB4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Steveston No 2 Rd, Richmond</w:t>
            </w:r>
          </w:p>
        </w:tc>
        <w:tc>
          <w:tcPr>
            <w:tcW w:w="1250" w:type="pct"/>
          </w:tcPr>
          <w:p w14:paraId="53AB54CF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b/>
                <w:bCs/>
                <w:sz w:val="17"/>
              </w:rPr>
              <w:t>Submitted</w:t>
            </w:r>
            <w:r w:rsidRPr="008768CB">
              <w:rPr>
                <w:sz w:val="17"/>
              </w:rPr>
              <w:t xml:space="preserve"> </w:t>
            </w:r>
            <w:r w:rsidRPr="008768CB">
              <w:rPr>
                <w:sz w:val="17"/>
              </w:rPr>
              <w:t>(Deltek stage: InPursuit)</w:t>
            </w:r>
          </w:p>
        </w:tc>
        <w:tc>
          <w:tcPr>
            <w:tcW w:w="1250" w:type="pct"/>
          </w:tcPr>
          <w:p w14:paraId="6EE166EF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$61,000</w:t>
            </w:r>
          </w:p>
        </w:tc>
        <w:tc>
          <w:tcPr>
            <w:tcW w:w="1250" w:type="pct"/>
          </w:tcPr>
          <w:p w14:paraId="5836C194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pending</w:t>
            </w:r>
          </w:p>
        </w:tc>
      </w:tr>
      <w:tr w:rsidR="00F51AF5" w:rsidRPr="008768CB" w14:paraId="6EF9090A" w14:textId="77777777" w:rsidTr="008768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5AB80514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Deep Cove North Vancouver</w:t>
            </w:r>
          </w:p>
        </w:tc>
        <w:tc>
          <w:tcPr>
            <w:tcW w:w="1250" w:type="pct"/>
          </w:tcPr>
          <w:p w14:paraId="60A7C2D4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Pursuing (Deltek stage: InPursuit)</w:t>
            </w:r>
          </w:p>
        </w:tc>
        <w:tc>
          <w:tcPr>
            <w:tcW w:w="1250" w:type="pct"/>
          </w:tcPr>
          <w:p w14:paraId="1EEA34CE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—</w:t>
            </w:r>
          </w:p>
        </w:tc>
        <w:tc>
          <w:tcPr>
            <w:tcW w:w="1250" w:type="pct"/>
          </w:tcPr>
          <w:p w14:paraId="19F88AFF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open</w:t>
            </w:r>
          </w:p>
        </w:tc>
      </w:tr>
      <w:tr w:rsidR="00F51AF5" w:rsidRPr="008768CB" w14:paraId="027310E5" w14:textId="77777777" w:rsidTr="008768CB">
        <w:trPr>
          <w:cantSplit/>
        </w:trPr>
        <w:tc>
          <w:tcPr>
            <w:tcW w:w="1250" w:type="pct"/>
          </w:tcPr>
          <w:p w14:paraId="62DCAB82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Trinity 354 E 10th Ave</w:t>
            </w:r>
          </w:p>
        </w:tc>
        <w:tc>
          <w:tcPr>
            <w:tcW w:w="1250" w:type="pct"/>
          </w:tcPr>
          <w:p w14:paraId="46AC8333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b/>
                <w:bCs/>
                <w:sz w:val="17"/>
              </w:rPr>
              <w:t>Lost</w:t>
            </w:r>
            <w:r w:rsidRPr="008768CB">
              <w:rPr>
                <w:sz w:val="17"/>
              </w:rPr>
              <w:t xml:space="preserve"> (Deltek stage: LOST)</w:t>
            </w:r>
          </w:p>
        </w:tc>
        <w:tc>
          <w:tcPr>
            <w:tcW w:w="1250" w:type="pct"/>
          </w:tcPr>
          <w:p w14:paraId="633227B9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$175,000</w:t>
            </w:r>
          </w:p>
        </w:tc>
        <w:tc>
          <w:tcPr>
            <w:tcW w:w="1250" w:type="pct"/>
          </w:tcPr>
          <w:p w14:paraId="162AC923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winner not recorded</w:t>
            </w:r>
          </w:p>
        </w:tc>
      </w:tr>
      <w:tr w:rsidR="00F51AF5" w:rsidRPr="008768CB" w14:paraId="43156AB6" w14:textId="77777777" w:rsidTr="008768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135BD81E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Hemlock Kingsway</w:t>
            </w:r>
          </w:p>
        </w:tc>
        <w:tc>
          <w:tcPr>
            <w:tcW w:w="1250" w:type="pct"/>
          </w:tcPr>
          <w:p w14:paraId="457EAFD9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b/>
                <w:bCs/>
                <w:sz w:val="17"/>
              </w:rPr>
              <w:t>Lost</w:t>
            </w:r>
            <w:r w:rsidRPr="008768CB">
              <w:rPr>
                <w:sz w:val="17"/>
              </w:rPr>
              <w:t xml:space="preserve"> (Deltek stage: LOST)</w:t>
            </w:r>
          </w:p>
        </w:tc>
        <w:tc>
          <w:tcPr>
            <w:tcW w:w="1250" w:type="pct"/>
          </w:tcPr>
          <w:p w14:paraId="282CE41C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$125,000</w:t>
            </w:r>
          </w:p>
        </w:tc>
        <w:tc>
          <w:tcPr>
            <w:tcW w:w="1250" w:type="pct"/>
          </w:tcPr>
          <w:p w14:paraId="5D37DC90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winner not recorded</w:t>
            </w:r>
          </w:p>
        </w:tc>
      </w:tr>
      <w:tr w:rsidR="00F51AF5" w:rsidRPr="008768CB" w14:paraId="5421B14E" w14:textId="77777777" w:rsidTr="008768CB">
        <w:trPr>
          <w:cantSplit/>
        </w:trPr>
        <w:tc>
          <w:tcPr>
            <w:tcW w:w="1250" w:type="pct"/>
          </w:tcPr>
          <w:p w14:paraId="27AB9F43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Trinity Triangle E 10th</w:t>
            </w:r>
          </w:p>
        </w:tc>
        <w:tc>
          <w:tcPr>
            <w:tcW w:w="1250" w:type="pct"/>
          </w:tcPr>
          <w:p w14:paraId="7E098A54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b/>
                <w:bCs/>
                <w:sz w:val="17"/>
              </w:rPr>
              <w:t>Lost</w:t>
            </w:r>
            <w:r w:rsidRPr="008768CB">
              <w:rPr>
                <w:sz w:val="17"/>
              </w:rPr>
              <w:t xml:space="preserve"> (Deltek stage: LOST)</w:t>
            </w:r>
          </w:p>
        </w:tc>
        <w:tc>
          <w:tcPr>
            <w:tcW w:w="1250" w:type="pct"/>
          </w:tcPr>
          <w:p w14:paraId="4F0CB32C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—</w:t>
            </w:r>
          </w:p>
        </w:tc>
        <w:tc>
          <w:tcPr>
            <w:tcW w:w="1250" w:type="pct"/>
          </w:tcPr>
          <w:p w14:paraId="35428629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winner not recorded</w:t>
            </w:r>
          </w:p>
        </w:tc>
      </w:tr>
    </w:tbl>
    <w:p w14:paraId="2B9BD215" w14:textId="77777777" w:rsidR="00F51AF5" w:rsidRDefault="00B64DB0">
      <w:pPr>
        <w:pStyle w:val="Compact"/>
        <w:numPr>
          <w:ilvl w:val="0"/>
          <w:numId w:val="3"/>
        </w:numPr>
      </w:pPr>
      <w:r>
        <w:t xml:space="preserve">Buyer of record: </w:t>
      </w:r>
      <w:r>
        <w:rPr>
          <w:b/>
          <w:bCs/>
        </w:rPr>
        <w:t>Ledcor Property Investments Ltd.</w:t>
      </w:r>
      <w:r>
        <w:t xml:space="preserve"> (18 of 20 pursuit records) and TELUS-c/o-Ledcor (2). Ledcor Construction Ltd. is also a Deltek client (</w:t>
      </w:r>
      <w:r>
        <w:rPr>
          <w:b/>
          <w:bCs/>
        </w:rPr>
        <w:t>CL00238</w:t>
      </w:r>
      <w:r>
        <w:t>), but the pursuit thread there is thin — that’s the expansion gap, not the base.</w:t>
      </w:r>
    </w:p>
    <w:p w14:paraId="13D733D1" w14:textId="77777777" w:rsidR="00F51AF5" w:rsidRDefault="00B64DB0">
      <w:pPr>
        <w:pStyle w:val="Compact"/>
        <w:numPr>
          <w:ilvl w:val="0"/>
          <w:numId w:val="3"/>
        </w:numPr>
      </w:pPr>
      <w:r>
        <w:rPr>
          <w:b/>
          <w:bCs/>
        </w:rPr>
        <w:t>Invoiced to date [Deltek LedgerAR, revenue account 4001]: $103,600 across five projects</w:t>
      </w:r>
      <w:r>
        <w:t xml:space="preserve"> </w:t>
      </w:r>
      <w:r>
        <w:t xml:space="preserve">— 6486 Chester St (31162) $30,000 (billing Nov 2024 – Jun 2026), Telus CO Regent (70063) $27,600 (Aug 2025 – Jun 2026), 730 Raymur (31196) $25,000 (Jul 2025 – Jan 2026), Telus CO White Rock (70065) $11,000 (Feb – Jun 2026), Regent 2212 W 10th (31141) $10,000 (Jul 2024 – Jan 2025). These are invoiced dollars, not </w:t>
      </w:r>
      <w:r>
        <w:lastRenderedPageBreak/>
        <w:t>proposal values — and three of the five projects issued invoices in June 2026. Project numbers are given so every figure can be pulled up in Deltek directly.</w:t>
      </w:r>
    </w:p>
    <w:p w14:paraId="41EB97A4" w14:textId="77777777" w:rsidR="00F51AF5" w:rsidRDefault="00B64DB0">
      <w:pPr>
        <w:pStyle w:val="Compact"/>
        <w:numPr>
          <w:ilvl w:val="0"/>
          <w:numId w:val="3"/>
        </w:numPr>
      </w:pPr>
      <w:r>
        <w:t xml:space="preserve">The ledger also carries the </w:t>
      </w:r>
      <w:r>
        <w:rPr>
          <w:b/>
          <w:bCs/>
        </w:rPr>
        <w:t>older Ledcor Construction relationship</w:t>
      </w:r>
      <w:r>
        <w:t xml:space="preserve">: Parksville Civic and Technology Centre, the RockRidge Canyon Club Room, West Vancouver residential consultations — and the </w:t>
      </w:r>
      <w:r>
        <w:rPr>
          <w:b/>
          <w:bCs/>
        </w:rPr>
        <w:t>Lede Residence in La Jolla, California</w:t>
      </w:r>
      <w:r>
        <w:t>. KOR has already done work for the Lede family in Southern California (relevant to Section 5E).</w:t>
      </w:r>
    </w:p>
    <w:p w14:paraId="062549B2" w14:textId="77777777" w:rsidR="00F51AF5" w:rsidRDefault="00B64DB0">
      <w:pPr>
        <w:pStyle w:val="Compact"/>
        <w:numPr>
          <w:ilvl w:val="0"/>
          <w:numId w:val="3"/>
        </w:numPr>
      </w:pPr>
      <w:r>
        <w:t xml:space="preserve">KOR’s CRM also holds </w:t>
      </w:r>
      <w:r>
        <w:rPr>
          <w:b/>
          <w:bCs/>
        </w:rPr>
        <w:t>two open Alberta-region Ledcor engagements</w:t>
      </w:r>
      <w:r>
        <w:t xml:space="preserve"> (early-stage, owners on file). The Alberta angle is already open in our own system.</w:t>
      </w:r>
    </w:p>
    <w:p w14:paraId="5F88E058" w14:textId="77777777" w:rsidR="00F51AF5" w:rsidRDefault="00B64DB0">
      <w:pPr>
        <w:pStyle w:val="Compact"/>
        <w:numPr>
          <w:ilvl w:val="0"/>
          <w:numId w:val="3"/>
        </w:numPr>
      </w:pPr>
      <w:r>
        <w:rPr>
          <w:i/>
          <w:iCs/>
        </w:rPr>
        <w:t>Data note:</w:t>
      </w:r>
      <w:r>
        <w:t xml:space="preserve"> </w:t>
      </w:r>
      <w:r>
        <w:t xml:space="preserve">the pursuit list contains sync duplicates (same project at several stages). The table above uses </w:t>
      </w:r>
      <w:r>
        <w:rPr>
          <w:b/>
          <w:bCs/>
        </w:rPr>
        <w:t>Deltek’s current project stage as the source of truth</w:t>
      </w:r>
      <w:r>
        <w:t xml:space="preserve"> (</w:t>
      </w:r>
      <w:r>
        <w:rPr>
          <w:vertAlign w:val="subscript"/>
        </w:rPr>
        <w:t>WDEF</w:t>
      </w:r>
      <w:r>
        <w:t xml:space="preserve"> = won; InPursuit = live; LOST = lost) — re-verified directly against Deltek on 2026-07-02, and checkable there by project number. The two “Trinity E 10th” entries are </w:t>
      </w:r>
      <w:r>
        <w:rPr>
          <w:b/>
          <w:bCs/>
        </w:rPr>
        <w:t>not</w:t>
      </w:r>
      <w:r>
        <w:t xml:space="preserve"> duplicates: Deltek carries Trinity 354 E 10th (20159) and Trinity Triangle East 10th (20476) as separate projects — both, honestly, lost.</w:t>
      </w:r>
    </w:p>
    <w:p w14:paraId="21137007" w14:textId="77777777" w:rsidR="00F51AF5" w:rsidRDefault="00B64DB0">
      <w:pPr>
        <w:pStyle w:val="Heading2"/>
      </w:pPr>
      <w:bookmarkStart w:id="3" w:name="who-ledcor-is-v-unless-noted"/>
      <w:bookmarkEnd w:id="2"/>
      <w:r>
        <w:t>3. Who Ledcor is [V unless noted]</w:t>
      </w:r>
    </w:p>
    <w:p w14:paraId="01BD9124" w14:textId="77777777" w:rsidR="00F51AF5" w:rsidRDefault="00B64DB0">
      <w:pPr>
        <w:pStyle w:val="Compact"/>
        <w:numPr>
          <w:ilvl w:val="0"/>
          <w:numId w:val="4"/>
        </w:numPr>
      </w:pPr>
      <w:r>
        <w:rPr>
          <w:b/>
          <w:bCs/>
        </w:rPr>
        <w:t>Private, family-owned group</w:t>
      </w:r>
      <w:r>
        <w:t xml:space="preserve">, founded 1947 in Leduc, AB by Bill Lede. Head offices: </w:t>
      </w:r>
      <w:r>
        <w:rPr>
          <w:b/>
          <w:bCs/>
        </w:rPr>
        <w:t>Vancouver</w:t>
      </w:r>
      <w:r>
        <w:t xml:space="preserve"> (1055 W Hastings) and San Diego (US). Edmonton is a branch office — the old “dual-HQ” description is outdated.</w:t>
      </w:r>
    </w:p>
    <w:p w14:paraId="6075C853" w14:textId="77777777" w:rsidR="00F51AF5" w:rsidRDefault="00B64DB0">
      <w:pPr>
        <w:pStyle w:val="Compact"/>
        <w:numPr>
          <w:ilvl w:val="0"/>
          <w:numId w:val="4"/>
        </w:numPr>
      </w:pPr>
      <w:r>
        <w:rPr>
          <w:b/>
          <w:bCs/>
        </w:rPr>
        <w:t>Eight divisions</w:t>
      </w:r>
      <w:r>
        <w:t xml:space="preserve"> on the current ledcor.com: Building, Communications (LTS), Electricity, Energy, Infrastructure, Mining, Properties, Transportation. Building work in BC/AB runs through </w:t>
      </w:r>
      <w:r>
        <w:rPr>
          <w:b/>
          <w:bCs/>
        </w:rPr>
        <w:t>Ledcor Construction Limited</w:t>
      </w:r>
      <w:r>
        <w:t xml:space="preserve">; development through </w:t>
      </w:r>
      <w:r>
        <w:rPr>
          <w:b/>
          <w:bCs/>
        </w:rPr>
        <w:t>Ledcor Properties / LPI</w:t>
      </w:r>
      <w:r>
        <w:t>.</w:t>
      </w:r>
    </w:p>
    <w:p w14:paraId="2193057A" w14:textId="77777777" w:rsidR="00F51AF5" w:rsidRDefault="00B64DB0">
      <w:pPr>
        <w:pStyle w:val="Compact"/>
        <w:numPr>
          <w:ilvl w:val="0"/>
          <w:numId w:val="4"/>
        </w:numPr>
      </w:pPr>
      <w:r>
        <w:rPr>
          <w:b/>
          <w:bCs/>
        </w:rPr>
        <w:t>Leadership:</w:t>
      </w:r>
      <w:r>
        <w:t xml:space="preserve"> </w:t>
      </w:r>
      <w:r>
        <w:rPr>
          <w:b/>
          <w:bCs/>
        </w:rPr>
        <w:t>Dave Lede — Chairman and CEO</w:t>
      </w:r>
      <w:r>
        <w:t xml:space="preserve"> </w:t>
      </w:r>
      <w:r>
        <w:t xml:space="preserve">(active, not emeritus). </w:t>
      </w:r>
      <w:r>
        <w:rPr>
          <w:b/>
          <w:bCs/>
        </w:rPr>
        <w:t>Jeff Watt — President, Ledcor Group of Companies</w:t>
      </w:r>
      <w:r>
        <w:t xml:space="preserve"> (since Jan 13, 2025). </w:t>
      </w:r>
      <w:r>
        <w:rPr>
          <w:b/>
          <w:bCs/>
        </w:rPr>
        <w:t>Russell Zirnhelt — EVP, Ledcor Construction Ltd</w:t>
      </w:r>
      <w:r>
        <w:t xml:space="preserve"> (heads building construction Canada-wide). Development: </w:t>
      </w:r>
      <w:r>
        <w:rPr>
          <w:b/>
          <w:bCs/>
        </w:rPr>
        <w:t>Andrew Voysey — EVP, Ledcor Properties</w:t>
      </w:r>
      <w:r>
        <w:t xml:space="preserve"> (the top Properties seat on Ledcor’s current pages; the previously-cited “Pat Patterson, President” traces to a 2020 release and no longer appears on their rosters — dropped on re-check).</w:t>
      </w:r>
    </w:p>
    <w:p w14:paraId="2045E453" w14:textId="77777777" w:rsidR="00F51AF5" w:rsidRDefault="00B64DB0">
      <w:pPr>
        <w:pStyle w:val="Compact"/>
        <w:numPr>
          <w:ilvl w:val="0"/>
          <w:numId w:val="4"/>
        </w:numPr>
      </w:pPr>
      <w:r>
        <w:rPr>
          <w:b/>
          <w:bCs/>
        </w:rPr>
        <w:t>Scale [I — estimates only, no audited figures]:</w:t>
      </w:r>
      <w:r>
        <w:t xml:space="preserve"> roughly </w:t>
      </w:r>
      <w:r>
        <w:rPr>
          <w:b/>
          <w:bCs/>
        </w:rPr>
        <w:t>$5B revenue</w:t>
      </w:r>
      <w:r>
        <w:t xml:space="preserve"> </w:t>
      </w:r>
      <w:r>
        <w:t xml:space="preserve">(aggregator estimates $5–5.8B), </w:t>
      </w:r>
      <w:r>
        <w:rPr>
          <w:b/>
          <w:bCs/>
        </w:rPr>
        <w:t>~7,000 employees</w:t>
      </w:r>
      <w:r>
        <w:t xml:space="preserve"> (LinkedIn band 5,000–10,000), historically a </w:t>
      </w:r>
      <w:r>
        <w:rPr>
          <w:b/>
          <w:bCs/>
        </w:rPr>
        <w:t>top-3–5 Canadian contractor</w:t>
      </w:r>
      <w:r>
        <w:t xml:space="preserve"> (On-Site Magazine rankings; table gated). Treat all three as estimates.</w:t>
      </w:r>
    </w:p>
    <w:p w14:paraId="3455172D" w14:textId="77777777" w:rsidR="00F51AF5" w:rsidRDefault="00B64DB0">
      <w:pPr>
        <w:pStyle w:val="Compact"/>
        <w:numPr>
          <w:ilvl w:val="0"/>
          <w:numId w:val="4"/>
        </w:numPr>
      </w:pPr>
      <w:r>
        <w:rPr>
          <w:b/>
          <w:bCs/>
        </w:rPr>
        <w:t>Direction 2024–26:</w:t>
      </w:r>
      <w:r>
        <w:t xml:space="preserve"> no M&amp;A; growth is megaproject JVs (Surrey Langley SkyTrain, Edmonton Capital Line LRT, Cedar LNG, </w:t>
      </w:r>
      <w:r>
        <w:rPr>
          <w:b/>
          <w:bCs/>
        </w:rPr>
        <w:t>BC Children’s Centre for Health Complexity</w:t>
      </w:r>
      <w:r>
        <w:t>) plus real mass-timber delivery (BCIT Tall Timber). A “data centre” push exists in marketing only — no built work found. [V]</w:t>
      </w:r>
    </w:p>
    <w:p w14:paraId="3F66D6B7" w14:textId="77777777" w:rsidR="00F51AF5" w:rsidRDefault="00B64DB0">
      <w:pPr>
        <w:pStyle w:val="Heading2"/>
      </w:pPr>
      <w:bookmarkStart w:id="4" w:name="Xd8550f7e673afe42cc300c24df3e02f7d88021b"/>
      <w:bookmarkEnd w:id="3"/>
      <w:r>
        <w:t>4. How Ledcor buys structural engineering (the core analysis)</w:t>
      </w:r>
    </w:p>
    <w:p w14:paraId="6747FB40" w14:textId="77777777" w:rsidR="00F51AF5" w:rsidRDefault="00B64DB0">
      <w:pPr>
        <w:pStyle w:val="FirstParagraph"/>
      </w:pPr>
      <w:r>
        <w:rPr>
          <w:b/>
          <w:bCs/>
        </w:rPr>
        <w:t>The rule [I — synthesized from the verified project set below; no single source states it]:</w:t>
      </w:r>
      <w:r>
        <w:t xml:space="preserve"> on Ledcor’s ordinary GC / construction-management work, the </w:t>
      </w:r>
      <w:r>
        <w:rPr>
          <w:b/>
          <w:bCs/>
        </w:rPr>
        <w:t>owner or architect</w:t>
      </w:r>
      <w:r>
        <w:t xml:space="preserve"> </w:t>
      </w:r>
      <w:r>
        <w:lastRenderedPageBreak/>
        <w:t xml:space="preserve">procures the structural engineer — Ledcor doesn’t hold that decision. Ledcor picks the structural engineer only where it owns the design: </w:t>
      </w:r>
      <w:r>
        <w:rPr>
          <w:b/>
          <w:bCs/>
        </w:rPr>
        <w:t>design-build, P3, and early-contractor-involvement</w:t>
      </w:r>
      <w:r>
        <w:t xml:space="preserve"> work — roughly one flagship at a time.</w:t>
      </w:r>
    </w:p>
    <w:p w14:paraId="4F7EBF1C" w14:textId="77777777" w:rsidR="00F51AF5" w:rsidRDefault="00B64DB0">
      <w:pPr>
        <w:pStyle w:val="BodyText"/>
      </w:pPr>
      <w:r>
        <w:rPr>
          <w:b/>
          <w:bCs/>
        </w:rPr>
        <w:t>The verified evidence: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610"/>
        <w:gridCol w:w="2610"/>
        <w:gridCol w:w="2610"/>
        <w:gridCol w:w="2610"/>
      </w:tblGrid>
      <w:tr w:rsidR="00F51AF5" w:rsidRPr="008768CB" w14:paraId="2F2F014F" w14:textId="77777777" w:rsidTr="008768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50" w:type="pct"/>
          </w:tcPr>
          <w:p w14:paraId="4C766E7C" w14:textId="77777777" w:rsidR="00F51AF5" w:rsidRPr="008768CB" w:rsidRDefault="00B64DB0">
            <w:pPr>
              <w:pStyle w:val="Compact"/>
              <w:rPr>
                <w:b w:val="0"/>
                <w:sz w:val="17"/>
              </w:rPr>
            </w:pPr>
            <w:r w:rsidRPr="008768CB">
              <w:rPr>
                <w:b w:val="0"/>
                <w:sz w:val="17"/>
              </w:rPr>
              <w:t>Project</w:t>
            </w:r>
          </w:p>
        </w:tc>
        <w:tc>
          <w:tcPr>
            <w:tcW w:w="1250" w:type="pct"/>
          </w:tcPr>
          <w:p w14:paraId="767978AA" w14:textId="77777777" w:rsidR="00F51AF5" w:rsidRPr="008768CB" w:rsidRDefault="00B64DB0">
            <w:pPr>
              <w:pStyle w:val="Compact"/>
              <w:rPr>
                <w:b w:val="0"/>
                <w:sz w:val="17"/>
              </w:rPr>
            </w:pPr>
            <w:r w:rsidRPr="008768CB">
              <w:rPr>
                <w:b w:val="0"/>
                <w:sz w:val="17"/>
              </w:rPr>
              <w:t>Delivery</w:t>
            </w:r>
          </w:p>
        </w:tc>
        <w:tc>
          <w:tcPr>
            <w:tcW w:w="1250" w:type="pct"/>
          </w:tcPr>
          <w:p w14:paraId="2D1707FF" w14:textId="77777777" w:rsidR="00F51AF5" w:rsidRPr="008768CB" w:rsidRDefault="00B64DB0">
            <w:pPr>
              <w:pStyle w:val="Compact"/>
              <w:rPr>
                <w:b w:val="0"/>
                <w:sz w:val="17"/>
              </w:rPr>
            </w:pPr>
            <w:r w:rsidRPr="008768CB">
              <w:rPr>
                <w:b w:val="0"/>
                <w:sz w:val="17"/>
              </w:rPr>
              <w:t>Structural engineer</w:t>
            </w:r>
          </w:p>
        </w:tc>
        <w:tc>
          <w:tcPr>
            <w:tcW w:w="1250" w:type="pct"/>
          </w:tcPr>
          <w:p w14:paraId="679A8D63" w14:textId="77777777" w:rsidR="00F51AF5" w:rsidRPr="008768CB" w:rsidRDefault="00B64DB0">
            <w:pPr>
              <w:pStyle w:val="Compact"/>
              <w:rPr>
                <w:b w:val="0"/>
                <w:sz w:val="17"/>
              </w:rPr>
            </w:pPr>
            <w:r w:rsidRPr="008768CB">
              <w:rPr>
                <w:b w:val="0"/>
                <w:sz w:val="17"/>
              </w:rPr>
              <w:t>Status</w:t>
            </w:r>
          </w:p>
        </w:tc>
      </w:tr>
      <w:tr w:rsidR="00F51AF5" w:rsidRPr="008768CB" w14:paraId="03643A20" w14:textId="77777777" w:rsidTr="008768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3951EE38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BC Children’s — Centre for Health Complexity</w:t>
            </w:r>
          </w:p>
        </w:tc>
        <w:tc>
          <w:tcPr>
            <w:tcW w:w="1250" w:type="pct"/>
          </w:tcPr>
          <w:p w14:paraId="172CAEDE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b/>
                <w:bCs/>
                <w:sz w:val="17"/>
              </w:rPr>
              <w:t>Ledcor Design-Build</w:t>
            </w:r>
            <w:r w:rsidRPr="008768CB">
              <w:rPr>
                <w:sz w:val="17"/>
              </w:rPr>
              <w:t xml:space="preserve"> (selected Jul 2024)</w:t>
            </w:r>
          </w:p>
        </w:tc>
        <w:tc>
          <w:tcPr>
            <w:tcW w:w="1250" w:type="pct"/>
          </w:tcPr>
          <w:p w14:paraId="283D29EE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b/>
                <w:bCs/>
                <w:sz w:val="17"/>
              </w:rPr>
              <w:t>Fast+Epp</w:t>
            </w:r>
          </w:p>
        </w:tc>
        <w:tc>
          <w:tcPr>
            <w:tcW w:w="1250" w:type="pct"/>
          </w:tcPr>
          <w:p w14:paraId="4D7E5A8A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Under construction; complete Dec 2027 [V]</w:t>
            </w:r>
          </w:p>
        </w:tc>
      </w:tr>
      <w:tr w:rsidR="00F51AF5" w:rsidRPr="008768CB" w14:paraId="4CC8C214" w14:textId="77777777" w:rsidTr="008768CB">
        <w:trPr>
          <w:cantSplit/>
        </w:trPr>
        <w:tc>
          <w:tcPr>
            <w:tcW w:w="1250" w:type="pct"/>
          </w:tcPr>
          <w:p w14:paraId="371696DF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BCIT Tall Timber Student Housing (12-st CLT)</w:t>
            </w:r>
          </w:p>
        </w:tc>
        <w:tc>
          <w:tcPr>
            <w:tcW w:w="1250" w:type="pct"/>
          </w:tcPr>
          <w:p w14:paraId="78A6BA28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Ledcor GC, early contractor involvement</w:t>
            </w:r>
          </w:p>
        </w:tc>
        <w:tc>
          <w:tcPr>
            <w:tcW w:w="1250" w:type="pct"/>
          </w:tcPr>
          <w:p w14:paraId="2F4085DF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b/>
                <w:bCs/>
                <w:sz w:val="17"/>
              </w:rPr>
              <w:t>Fast+Epp</w:t>
            </w:r>
          </w:p>
        </w:tc>
        <w:tc>
          <w:tcPr>
            <w:tcW w:w="1250" w:type="pct"/>
          </w:tcPr>
          <w:p w14:paraId="595C80DF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Opened Aug 25, 2025 [V]</w:t>
            </w:r>
          </w:p>
        </w:tc>
      </w:tr>
      <w:tr w:rsidR="00F51AF5" w:rsidRPr="008768CB" w14:paraId="132E9F4A" w14:textId="77777777" w:rsidTr="008768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4CCA55A7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Northern Lights College Trades Centre, Dawson Creek</w:t>
            </w:r>
          </w:p>
        </w:tc>
        <w:tc>
          <w:tcPr>
            <w:tcW w:w="1250" w:type="pct"/>
          </w:tcPr>
          <w:p w14:paraId="0944C016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Ledcor builder</w:t>
            </w:r>
          </w:p>
        </w:tc>
        <w:tc>
          <w:tcPr>
            <w:tcW w:w="1250" w:type="pct"/>
          </w:tcPr>
          <w:p w14:paraId="2D89CC5B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b/>
                <w:bCs/>
                <w:sz w:val="17"/>
              </w:rPr>
              <w:t>Equilibrium Consulting</w:t>
            </w:r>
            <w:r w:rsidRPr="008768CB">
              <w:rPr>
                <w:sz w:val="17"/>
              </w:rPr>
              <w:t xml:space="preserve"> (design/consulting credit)</w:t>
            </w:r>
          </w:p>
        </w:tc>
        <w:tc>
          <w:tcPr>
            <w:tcW w:w="1250" w:type="pct"/>
          </w:tcPr>
          <w:p w14:paraId="1A719A06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Complete 2018 [V]</w:t>
            </w:r>
          </w:p>
        </w:tc>
      </w:tr>
      <w:tr w:rsidR="00F51AF5" w:rsidRPr="008768CB" w14:paraId="69218310" w14:textId="77777777" w:rsidTr="008768CB">
        <w:trPr>
          <w:cantSplit/>
        </w:trPr>
        <w:tc>
          <w:tcPr>
            <w:tcW w:w="1250" w:type="pct"/>
          </w:tcPr>
          <w:p w14:paraId="7EA19BD1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James Cowan Theatre, Burnaby</w:t>
            </w:r>
          </w:p>
        </w:tc>
        <w:tc>
          <w:tcPr>
            <w:tcW w:w="1250" w:type="pct"/>
          </w:tcPr>
          <w:p w14:paraId="18E39B23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b/>
                <w:bCs/>
                <w:sz w:val="17"/>
              </w:rPr>
              <w:t>Ledcor Design-Build</w:t>
            </w:r>
          </w:p>
        </w:tc>
        <w:tc>
          <w:tcPr>
            <w:tcW w:w="1250" w:type="pct"/>
          </w:tcPr>
          <w:p w14:paraId="6EC34B14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b/>
                <w:bCs/>
                <w:sz w:val="17"/>
              </w:rPr>
              <w:t>Not publicly named</w:t>
            </w:r>
            <w:r w:rsidRPr="008768CB">
              <w:rPr>
                <w:sz w:val="17"/>
              </w:rPr>
              <w:t xml:space="preserve"> </w:t>
            </w:r>
            <w:r w:rsidRPr="008768CB">
              <w:rPr>
                <w:sz w:val="17"/>
              </w:rPr>
              <w:t>— no source; do not repeat the Glotman rumour</w:t>
            </w:r>
          </w:p>
        </w:tc>
        <w:tc>
          <w:tcPr>
            <w:tcW w:w="1250" w:type="pct"/>
          </w:tcPr>
          <w:p w14:paraId="55243567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In delivery [V — contractor confirmed; SE not named]</w:t>
            </w:r>
          </w:p>
        </w:tc>
      </w:tr>
      <w:tr w:rsidR="00F51AF5" w:rsidRPr="008768CB" w14:paraId="67745516" w14:textId="77777777" w:rsidTr="008768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45ADE410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Brock Commons UBC</w:t>
            </w:r>
          </w:p>
        </w:tc>
        <w:tc>
          <w:tcPr>
            <w:tcW w:w="1250" w:type="pct"/>
          </w:tcPr>
          <w:p w14:paraId="3B131F31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—</w:t>
            </w:r>
          </w:p>
        </w:tc>
        <w:tc>
          <w:tcPr>
            <w:tcW w:w="1250" w:type="pct"/>
          </w:tcPr>
          <w:p w14:paraId="67A06B6C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i/>
                <w:iCs/>
                <w:sz w:val="17"/>
              </w:rPr>
              <w:t>Not a Ledcor project</w:t>
            </w:r>
            <w:r w:rsidRPr="008768CB">
              <w:rPr>
                <w:sz w:val="17"/>
              </w:rPr>
              <w:t xml:space="preserve"> (built by Urban One; F+E structural) — a common misattribution, corrected here</w:t>
            </w:r>
          </w:p>
        </w:tc>
        <w:tc>
          <w:tcPr>
            <w:tcW w:w="1250" w:type="pct"/>
          </w:tcPr>
          <w:p w14:paraId="1045F929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[V]</w:t>
            </w:r>
          </w:p>
        </w:tc>
      </w:tr>
    </w:tbl>
    <w:p w14:paraId="74F119DC" w14:textId="77777777" w:rsidR="00F51AF5" w:rsidRDefault="00B64DB0">
      <w:pPr>
        <w:pStyle w:val="BodyText"/>
      </w:pPr>
      <w:r>
        <w:rPr>
          <w:b/>
          <w:bCs/>
        </w:rPr>
        <w:t>Who decides [V for the named people; I for the process]:</w:t>
      </w:r>
      <w:r>
        <w:t xml:space="preserve"> design-team selection sits with the </w:t>
      </w:r>
      <w:r>
        <w:rPr>
          <w:b/>
          <w:bCs/>
        </w:rPr>
        <w:t>preconstruction/estimating and business-development function</w:t>
      </w:r>
      <w:r>
        <w:t xml:space="preserve"> at pursuit stage. Verified people in those seats: </w:t>
      </w:r>
      <w:r>
        <w:rPr>
          <w:b/>
          <w:bCs/>
        </w:rPr>
        <w:t>Aaron Grenier</w:t>
      </w:r>
      <w:r>
        <w:t xml:space="preserve"> </w:t>
      </w:r>
      <w:r>
        <w:t xml:space="preserve">(Director, Estimating &amp; Preconstruction — title independently confirmed twice) and </w:t>
      </w:r>
      <w:r>
        <w:rPr>
          <w:b/>
          <w:bCs/>
        </w:rPr>
        <w:t>Barry Murphy</w:t>
      </w:r>
      <w:r>
        <w:t xml:space="preserve"> (Director of Business Development). No “Design Manager, Building Construction” is publicly named — this dossier does not invent one. There is </w:t>
      </w:r>
      <w:r>
        <w:rPr>
          <w:b/>
          <w:bCs/>
        </w:rPr>
        <w:t>no public design-partner roster or portal</w:t>
      </w:r>
      <w:r>
        <w:t xml:space="preserve"> — the way in is the relationship. [I — absence-of-evidence]</w:t>
      </w:r>
    </w:p>
    <w:p w14:paraId="607A0A33" w14:textId="77777777" w:rsidR="00F51AF5" w:rsidRDefault="00B64DB0">
      <w:pPr>
        <w:pStyle w:val="BodyText"/>
      </w:pPr>
      <w:r>
        <w:rPr>
          <w:b/>
          <w:bCs/>
        </w:rPr>
        <w:t>Honest boundary [V]:</w:t>
      </w:r>
      <w:r>
        <w:t xml:space="preserve"> </w:t>
      </w:r>
      <w:r>
        <w:t xml:space="preserve">Ledcor’s healthcare-buildings record is thin — Cowichan, Royal Columbian, the new Surrey hospital, and Calgary Cancer Centre all went to EllisDon/Bird/PCL. Its healthcare anchor is the PHSA/BC Children’s campus. Don’t pitch Ledcor as a healthcare volume channel; pitch the </w:t>
      </w:r>
      <w:r>
        <w:rPr>
          <w:i/>
          <w:iCs/>
        </w:rPr>
        <w:t>design-build lane</w:t>
      </w:r>
      <w:r>
        <w:t xml:space="preserve"> wherever it points.</w:t>
      </w:r>
    </w:p>
    <w:p w14:paraId="44E63B57" w14:textId="77777777" w:rsidR="00F51AF5" w:rsidRDefault="00B64DB0">
      <w:pPr>
        <w:pStyle w:val="Heading2"/>
      </w:pPr>
      <w:bookmarkStart w:id="5" w:name="expansion-paths-ranked"/>
      <w:bookmarkEnd w:id="4"/>
      <w:r>
        <w:lastRenderedPageBreak/>
        <w:t>5. Expansion paths, ranked</w:t>
      </w:r>
    </w:p>
    <w:p w14:paraId="4F7F5943" w14:textId="77777777" w:rsidR="00F51AF5" w:rsidRDefault="00B64DB0">
      <w:pPr>
        <w:pStyle w:val="FirstParagraph"/>
      </w:pPr>
      <w:r>
        <w:rPr>
          <w:b/>
          <w:bCs/>
        </w:rPr>
        <w:t>A. Telus Living program — converting, with the structural seats split and KOR holding half. [V + KOR books]</w:t>
      </w:r>
      <w:r>
        <w:t xml:space="preserve"> Four LPI/TELUS rental projects in Vancouver; </w:t>
      </w:r>
      <w:r>
        <w:rPr>
          <w:b/>
          <w:bCs/>
        </w:rPr>
        <w:t>no structural engineer publicly identified on any</w:t>
      </w:r>
      <w:r>
        <w:t xml:space="preserve"> [I — absence-of-evidence; see Section 7]; three rezonings </w:t>
      </w:r>
      <w:r>
        <w:rPr>
          <w:b/>
          <w:bCs/>
        </w:rPr>
        <w:t>approved</w:t>
      </w:r>
      <w:r>
        <w:t xml:space="preserve"> </w:t>
      </w:r>
      <w:r>
        <w:t xml:space="preserve">(Chester St — 6-storey, Nov 2025; W 10th/Arbutus Walk — 25-st, Mar 2026; E 10th — 25-st, May 2026), Kingsway (25-st, 233 units) still pre-hearing (public Q&amp;A runs July 15–28, 2026). Approvals now convert through development and building permits — structural mobilization typically follows over 12–24 months, so the window is real but not a sprint. KOR’s books answer what the public record can’t: </w:t>
      </w:r>
      <w:r>
        <w:rPr>
          <w:b/>
          <w:bCs/>
        </w:rPr>
        <w:t>KOR won W 10th/Arbutus and Chester</w:t>
      </w:r>
      <w:r>
        <w:t xml:space="preserve"> (program invoicing ran as recently as June 2026), and </w:t>
      </w:r>
      <w:r>
        <w:rPr>
          <w:b/>
          <w:bCs/>
        </w:rPr>
        <w:t>lost the E 10th ($175k) and Kingsway ($125k) proposals</w:t>
      </w:r>
      <w:r>
        <w:t xml:space="preserve"> — Deltek stage LOST on both, winning firm not recorded. </w:t>
      </w:r>
      <w:r>
        <w:rPr>
          <w:b/>
          <w:bCs/>
        </w:rPr>
        <w:t>Steveston Richmond ($61k) remains live</w:t>
      </w:r>
      <w:r>
        <w:t xml:space="preserve">, and Deep Cove is in pursuit. Competitive reality: LPI has used </w:t>
      </w:r>
      <w:r>
        <w:rPr>
          <w:b/>
          <w:bCs/>
        </w:rPr>
        <w:t>John Bryson &amp; Partners (now BMZ)</w:t>
      </w:r>
      <w:r>
        <w:t xml:space="preserve"> on a past tower (The Charleson), Fast+Epp holds the construction arm’s flagships, and an unidentified competitor has taken program towers off KOR — per the Deltek record stamps, Trinity 354 was marked lost by Sep 2024, Kingsway by Nov 2025, and </w:t>
      </w:r>
      <w:r>
        <w:rPr>
          <w:b/>
          <w:bCs/>
        </w:rPr>
        <w:t>Trinity Triangle on June 18, 2026 — two weeks ago</w:t>
      </w:r>
      <w:r>
        <w:t xml:space="preserve">. Finding out who and why is a live question, not history. The earlier “Trinity” bookkeeping question is resolved: Deltek carries Trinity 354 E 10th and Trinity Triangle E 10th as </w:t>
      </w:r>
      <w:r>
        <w:rPr>
          <w:b/>
          <w:bCs/>
        </w:rPr>
        <w:t>two separate projects</w:t>
      </w:r>
      <w:r>
        <w:t xml:space="preserve"> </w:t>
      </w:r>
      <w:r>
        <w:t xml:space="preserve">(20159, 20476) — both lost. Action: close Steveston; get the loss debrief from LPI (Lorne Wolinsky, VP Development, Vancouver) — who won E 10th and Kingsway, and on what basis — and contest the program’s remaining structural work from the two projects KOR holds. </w:t>
      </w:r>
      <w:r>
        <w:rPr>
          <w:b/>
          <w:bCs/>
        </w:rPr>
        <w:t>B. The design-build institutional lane. [V]</w:t>
      </w:r>
      <w:r>
        <w:t xml:space="preserve"> James-Cowan-type municipal design-builds are where Ledcor Construction picks structural partners. Route: Grenier (precon) + Murphy (BD) + Boyce (SVP BC). </w:t>
      </w:r>
      <w:r>
        <w:rPr>
          <w:i/>
          <w:iCs/>
        </w:rPr>
        <w:t>Watch item — re-set June 30, 2026:</w:t>
      </w:r>
      <w:r>
        <w:t xml:space="preserve"> </w:t>
      </w:r>
      <w:r>
        <w:rPr>
          <w:b/>
          <w:bCs/>
        </w:rPr>
        <w:t>Surrey City Centre Arena</w:t>
      </w:r>
      <w:r>
        <w:t xml:space="preserve"> changed the day before this dossier was first issued: Surrey announced an agreement in principle with </w:t>
      </w:r>
      <w:r>
        <w:rPr>
          <w:b/>
          <w:bCs/>
        </w:rPr>
        <w:t>Wesgroup Properties</w:t>
      </w:r>
      <w:r>
        <w:t xml:space="preserve"> — a $116.6M land swap relocating the arena to 10355 King George Blvd, now a </w:t>
      </w:r>
      <w:r>
        <w:rPr>
          <w:b/>
          <w:bCs/>
        </w:rPr>
        <w:t>~$360M, 10,000-seat “City Centre Arena and Cultural Event Centre”</w:t>
      </w:r>
      <w:r>
        <w:t xml:space="preserve"> (Vancouver Giants anchor tenant), </w:t>
      </w:r>
      <w:r>
        <w:rPr>
          <w:b/>
          <w:bCs/>
        </w:rPr>
        <w:t>construction ~2027, completion 2030</w:t>
      </w:r>
      <w:r>
        <w:t xml:space="preserve">. No design-builder, architect, or structural engineer is named (Wesgroup is the land-swap counterparty, not a confirmed builder). The design seat is likely still ahead of procurement — but on a 2027 clock, not an August one. Monitor; no evidence Ledcor is involved. (A July 2 political dispute over the land-swap price — a former mayor alleging overpayment, the current mayor denying it — does not change the announced deal terms or timeline.) </w:t>
      </w:r>
      <w:r>
        <w:rPr>
          <w:b/>
          <w:bCs/>
        </w:rPr>
        <w:t>C. Alberta. [KOR books + V]</w:t>
      </w:r>
      <w:r>
        <w:t xml:space="preserve"> </w:t>
      </w:r>
      <w:r>
        <w:t xml:space="preserve">Two Alberta CRM engagements already open in KOR’s system; Grenier appears Edmonton-based [I]; Ledcor Construction won a </w:t>
      </w:r>
      <w:r>
        <w:rPr>
          <w:b/>
          <w:bCs/>
        </w:rPr>
        <w:t>$16.6M institutional-buildings contract in Dec 2025</w:t>
      </w:r>
      <w:r>
        <w:t xml:space="preserve"> [KOR platform awards data]. Modest, real, and adjacent to KOR’s Edmonton push. </w:t>
      </w:r>
      <w:r>
        <w:rPr>
          <w:b/>
          <w:bCs/>
        </w:rPr>
        <w:t>D. Mass-timber-adjacent institutional. [V]</w:t>
      </w:r>
      <w:r>
        <w:t xml:space="preserve"> Ledcor delivers mass timber (BCIT) but </w:t>
      </w:r>
      <w:r>
        <w:rPr>
          <w:b/>
          <w:bCs/>
        </w:rPr>
        <w:t>Fast+Epp holds the flagship relationship</w:t>
      </w:r>
      <w:r>
        <w:t xml:space="preserve"> (BC Children’s + BCIT). Don’t contest that lane head-on; position for the </w:t>
      </w:r>
      <w:r>
        <w:rPr>
          <w:i/>
          <w:iCs/>
        </w:rPr>
        <w:t>next tier</w:t>
      </w:r>
      <w:r>
        <w:t xml:space="preserve"> </w:t>
      </w:r>
      <w:r>
        <w:t xml:space="preserve">of institutional timber (the Northern Lights/Equilibrium precedent shows they use specialist SEs project-by-project). </w:t>
      </w:r>
      <w:r>
        <w:rPr>
          <w:b/>
          <w:bCs/>
        </w:rPr>
        <w:t>E. The US development arm — in KOR’s own backyard. [V — added 2026-07-02, independently fact-checked]</w:t>
      </w:r>
      <w:r>
        <w:t xml:space="preserve"> Ledcor </w:t>
      </w:r>
      <w:r>
        <w:rPr>
          <w:b/>
          <w:bCs/>
        </w:rPr>
        <w:t>sold its California general-contracting business in 2019</w:t>
      </w:r>
      <w:r>
        <w:t xml:space="preserve"> (Napa operation to davisReed, by its </w:t>
      </w:r>
      <w:r>
        <w:lastRenderedPageBreak/>
        <w:t xml:space="preserve">own press release, to refocus on property development and telecom) — so its real US buildings play is </w:t>
      </w:r>
      <w:r>
        <w:rPr>
          <w:b/>
          <w:bCs/>
        </w:rPr>
        <w:t>Ledcor Development LP, US head office in San Diego</w:t>
      </w:r>
      <w:r>
        <w:t xml:space="preserve"> </w:t>
      </w:r>
      <w:r>
        <w:t xml:space="preserve">(6405 Mira Mesa Blvd, per its own contact page): a steady, modest developer with </w:t>
      </w:r>
      <w:r>
        <w:rPr>
          <w:b/>
          <w:bCs/>
        </w:rPr>
        <w:t>seven identified projects — six in California, one in Redmond, WA — since 2016</w:t>
      </w:r>
      <w:r>
        <w:t>. What’s live now: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610"/>
        <w:gridCol w:w="2610"/>
        <w:gridCol w:w="2610"/>
        <w:gridCol w:w="2610"/>
      </w:tblGrid>
      <w:tr w:rsidR="00F51AF5" w:rsidRPr="008768CB" w14:paraId="2E9CC908" w14:textId="77777777" w:rsidTr="008768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50" w:type="pct"/>
          </w:tcPr>
          <w:p w14:paraId="63904551" w14:textId="77777777" w:rsidR="00F51AF5" w:rsidRPr="008768CB" w:rsidRDefault="00B64DB0">
            <w:pPr>
              <w:pStyle w:val="Compact"/>
              <w:rPr>
                <w:b w:val="0"/>
                <w:sz w:val="17"/>
              </w:rPr>
            </w:pPr>
            <w:r w:rsidRPr="008768CB">
              <w:rPr>
                <w:b w:val="0"/>
                <w:sz w:val="17"/>
              </w:rPr>
              <w:t>Project</w:t>
            </w:r>
          </w:p>
        </w:tc>
        <w:tc>
          <w:tcPr>
            <w:tcW w:w="1250" w:type="pct"/>
          </w:tcPr>
          <w:p w14:paraId="30C0166F" w14:textId="77777777" w:rsidR="00F51AF5" w:rsidRPr="008768CB" w:rsidRDefault="00B64DB0">
            <w:pPr>
              <w:pStyle w:val="Compact"/>
              <w:rPr>
                <w:b w:val="0"/>
                <w:sz w:val="17"/>
              </w:rPr>
            </w:pPr>
            <w:r w:rsidRPr="008768CB">
              <w:rPr>
                <w:b w:val="0"/>
                <w:sz w:val="17"/>
              </w:rPr>
              <w:t>Where</w:t>
            </w:r>
          </w:p>
        </w:tc>
        <w:tc>
          <w:tcPr>
            <w:tcW w:w="1250" w:type="pct"/>
          </w:tcPr>
          <w:p w14:paraId="54296A47" w14:textId="77777777" w:rsidR="00F51AF5" w:rsidRPr="008768CB" w:rsidRDefault="00B64DB0">
            <w:pPr>
              <w:pStyle w:val="Compact"/>
              <w:rPr>
                <w:b w:val="0"/>
                <w:sz w:val="17"/>
              </w:rPr>
            </w:pPr>
            <w:r w:rsidRPr="008768CB">
              <w:rPr>
                <w:b w:val="0"/>
                <w:sz w:val="17"/>
              </w:rPr>
              <w:t>Scale</w:t>
            </w:r>
          </w:p>
        </w:tc>
        <w:tc>
          <w:tcPr>
            <w:tcW w:w="1250" w:type="pct"/>
          </w:tcPr>
          <w:p w14:paraId="53DF0A59" w14:textId="77777777" w:rsidR="00F51AF5" w:rsidRPr="008768CB" w:rsidRDefault="00B64DB0">
            <w:pPr>
              <w:pStyle w:val="Compact"/>
              <w:rPr>
                <w:b w:val="0"/>
                <w:sz w:val="17"/>
              </w:rPr>
            </w:pPr>
            <w:r w:rsidRPr="008768CB">
              <w:rPr>
                <w:b w:val="0"/>
                <w:sz w:val="17"/>
              </w:rPr>
              <w:t>Status</w:t>
            </w:r>
          </w:p>
        </w:tc>
      </w:tr>
      <w:tr w:rsidR="00F51AF5" w:rsidRPr="008768CB" w14:paraId="340EF53B" w14:textId="77777777" w:rsidTr="008768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4FD9036F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b/>
                <w:bCs/>
                <w:sz w:val="17"/>
              </w:rPr>
              <w:t>ALARA</w:t>
            </w:r>
          </w:p>
        </w:tc>
        <w:tc>
          <w:tcPr>
            <w:tcW w:w="1250" w:type="pct"/>
          </w:tcPr>
          <w:p w14:paraId="536596C2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 xml:space="preserve">Golden Hill, </w:t>
            </w:r>
            <w:r w:rsidRPr="008768CB">
              <w:rPr>
                <w:b/>
                <w:bCs/>
                <w:sz w:val="17"/>
              </w:rPr>
              <w:t>San Diego</w:t>
            </w:r>
          </w:p>
        </w:tc>
        <w:tc>
          <w:tcPr>
            <w:tcW w:w="1250" w:type="pct"/>
          </w:tcPr>
          <w:p w14:paraId="7B557DB8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8-storey, 213 units, $107M; partners Qualico US + Tokyu Land US</w:t>
            </w:r>
          </w:p>
        </w:tc>
        <w:tc>
          <w:tcPr>
            <w:tcW w:w="1250" w:type="pct"/>
          </w:tcPr>
          <w:p w14:paraId="19C4F59B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 xml:space="preserve">Broke ground Apr 2025; delivery targeted Q1 2027 per the groundbreaking announcement — under construction, so its design team is set: </w:t>
            </w:r>
            <w:r w:rsidRPr="008768CB">
              <w:rPr>
                <w:b/>
                <w:bCs/>
                <w:sz w:val="17"/>
              </w:rPr>
              <w:t>background intel, not a pursuit</w:t>
            </w:r>
          </w:p>
        </w:tc>
      </w:tr>
      <w:tr w:rsidR="00F51AF5" w:rsidRPr="008768CB" w14:paraId="2E831B0B" w14:textId="77777777" w:rsidTr="008768CB">
        <w:trPr>
          <w:cantSplit/>
        </w:trPr>
        <w:tc>
          <w:tcPr>
            <w:tcW w:w="1250" w:type="pct"/>
          </w:tcPr>
          <w:p w14:paraId="3CE29B92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b/>
                <w:bCs/>
                <w:sz w:val="17"/>
              </w:rPr>
              <w:t>Hercules Bayfront “The Village”</w:t>
            </w:r>
          </w:p>
        </w:tc>
        <w:tc>
          <w:tcPr>
            <w:tcW w:w="1250" w:type="pct"/>
          </w:tcPr>
          <w:p w14:paraId="5C770049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Hercules, CA (Bay Area)</w:t>
            </w:r>
          </w:p>
        </w:tc>
        <w:tc>
          <w:tcPr>
            <w:tcW w:w="1250" w:type="pct"/>
          </w:tcPr>
          <w:p w14:paraId="5C52DEF6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 xml:space="preserve">171 townhomes </w:t>
            </w:r>
            <w:r w:rsidRPr="008768CB">
              <w:rPr>
                <w:b/>
                <w:bCs/>
                <w:sz w:val="17"/>
              </w:rPr>
              <w:t>approved Sept 2025</w:t>
            </w:r>
            <w:r w:rsidRPr="008768CB">
              <w:rPr>
                <w:sz w:val="17"/>
              </w:rPr>
              <w:t xml:space="preserve"> (council vote per trade coverage); plus a 207-key hotel application and ~330 further townhomes in rezoning</w:t>
            </w:r>
          </w:p>
        </w:tc>
        <w:tc>
          <w:tcPr>
            <w:tcW w:w="1250" w:type="pct"/>
          </w:tcPr>
          <w:p w14:paraId="72407987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Design work ahead — pursuit-shaped</w:t>
            </w:r>
          </w:p>
        </w:tc>
      </w:tr>
      <w:tr w:rsidR="00F51AF5" w:rsidRPr="008768CB" w14:paraId="6190C096" w14:textId="77777777" w:rsidTr="008768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76B13728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b/>
                <w:bCs/>
                <w:sz w:val="17"/>
              </w:rPr>
              <w:t>Sunny Creek</w:t>
            </w:r>
            <w:r w:rsidRPr="008768CB">
              <w:rPr>
                <w:sz w:val="17"/>
              </w:rPr>
              <w:t xml:space="preserve"> (next phases)</w:t>
            </w:r>
          </w:p>
        </w:tc>
        <w:tc>
          <w:tcPr>
            <w:tcW w:w="1250" w:type="pct"/>
          </w:tcPr>
          <w:p w14:paraId="079DE249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Carlsbad, CA</w:t>
            </w:r>
          </w:p>
        </w:tc>
        <w:tc>
          <w:tcPr>
            <w:tcW w:w="1250" w:type="pct"/>
          </w:tcPr>
          <w:p w14:paraId="4EFEBB99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~330 townhomes being entitled beyond the built 212 apartments</w:t>
            </w:r>
          </w:p>
        </w:tc>
        <w:tc>
          <w:tcPr>
            <w:tcW w:w="1250" w:type="pct"/>
          </w:tcPr>
          <w:p w14:paraId="1D6FB573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Entitlement — pursuit-shaped</w:t>
            </w:r>
          </w:p>
        </w:tc>
      </w:tr>
    </w:tbl>
    <w:p w14:paraId="09392319" w14:textId="77777777" w:rsidR="00F51AF5" w:rsidRDefault="00B64DB0">
      <w:pPr>
        <w:pStyle w:val="BodyText"/>
      </w:pPr>
      <w:r>
        <w:t xml:space="preserve">Competitive reality, stated plainly: the only US project with a publicly documented structural engineer is their Long Beach flagship </w:t>
      </w:r>
      <w:r>
        <w:rPr>
          <w:b/>
          <w:bCs/>
        </w:rPr>
        <w:t>Shoreline Gateway (35-storey) — Englekirk</w:t>
      </w:r>
      <w:r>
        <w:t xml:space="preserve">, a major SoCal firm. On the other six projects the engineer of record wasn’t publicly findable (city permit lookups would resolve it). A KOR pitch in the US is therefore </w:t>
      </w:r>
      <w:r>
        <w:rPr>
          <w:b/>
          <w:bCs/>
        </w:rPr>
        <w:t>displacing or supplementing an established incumbent, not filling a vacuum</w:t>
      </w:r>
      <w:r>
        <w:t xml:space="preserve"> — but three things travel in KOR’s favour: </w:t>
      </w:r>
      <w:r>
        <w:rPr>
          <w:b/>
          <w:bCs/>
        </w:rPr>
        <w:t>Andrew Voysey’s EVP Properties mandate is explicitly North-America-wide</w:t>
      </w:r>
      <w:r>
        <w:t xml:space="preserve">; the senior US operating executive is </w:t>
      </w:r>
      <w:r>
        <w:rPr>
          <w:b/>
          <w:bCs/>
        </w:rPr>
        <w:t>John Santry, SVP US Mainland</w:t>
      </w:r>
      <w:r>
        <w:t xml:space="preserve"> </w:t>
      </w:r>
      <w:r>
        <w:t xml:space="preserve">(quoted at the ALARA groundbreaking; confirmed active in 2026 via independent profiles, though he does not appear on ledcor.com’s executive page — noted for accuracy); and KOR’s own ledger already holds a Southern California precedent for the family (the </w:t>
      </w:r>
      <w:r>
        <w:rPr>
          <w:b/>
          <w:bCs/>
        </w:rPr>
        <w:t>Lede Residence, La Jolla</w:t>
      </w:r>
      <w:r>
        <w:t xml:space="preserve"> — Section 2). The realistic move is not chasing ALARA (designed and building) but being introduced — through the live Vancouver relationship — before the </w:t>
      </w:r>
      <w:r>
        <w:rPr>
          <w:b/>
          <w:bCs/>
        </w:rPr>
        <w:t>Hercules and Sunny Creek phases</w:t>
      </w:r>
      <w:r>
        <w:t xml:space="preserve"> pick their design teams.</w:t>
      </w:r>
    </w:p>
    <w:p w14:paraId="70041912" w14:textId="77777777" w:rsidR="00F51AF5" w:rsidRDefault="00B64DB0">
      <w:pPr>
        <w:pStyle w:val="Heading2"/>
      </w:pPr>
      <w:bookmarkStart w:id="6" w:name="people-verified-only"/>
      <w:bookmarkEnd w:id="5"/>
      <w:r>
        <w:t>6. People (verified only)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610"/>
        <w:gridCol w:w="2610"/>
        <w:gridCol w:w="2610"/>
        <w:gridCol w:w="2610"/>
      </w:tblGrid>
      <w:tr w:rsidR="00F51AF5" w:rsidRPr="008768CB" w14:paraId="7CA49360" w14:textId="77777777" w:rsidTr="008768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50" w:type="pct"/>
          </w:tcPr>
          <w:p w14:paraId="6842C112" w14:textId="77777777" w:rsidR="00F51AF5" w:rsidRPr="008768CB" w:rsidRDefault="00B64DB0">
            <w:pPr>
              <w:pStyle w:val="Compact"/>
              <w:rPr>
                <w:b w:val="0"/>
                <w:sz w:val="17"/>
              </w:rPr>
            </w:pPr>
            <w:r w:rsidRPr="008768CB">
              <w:rPr>
                <w:b w:val="0"/>
                <w:sz w:val="17"/>
              </w:rPr>
              <w:t>Person</w:t>
            </w:r>
          </w:p>
        </w:tc>
        <w:tc>
          <w:tcPr>
            <w:tcW w:w="1250" w:type="pct"/>
          </w:tcPr>
          <w:p w14:paraId="63F5C15A" w14:textId="77777777" w:rsidR="00F51AF5" w:rsidRPr="008768CB" w:rsidRDefault="00B64DB0">
            <w:pPr>
              <w:pStyle w:val="Compact"/>
              <w:rPr>
                <w:b w:val="0"/>
                <w:sz w:val="17"/>
              </w:rPr>
            </w:pPr>
            <w:r w:rsidRPr="008768CB">
              <w:rPr>
                <w:b w:val="0"/>
                <w:sz w:val="17"/>
              </w:rPr>
              <w:t>Title</w:t>
            </w:r>
          </w:p>
        </w:tc>
        <w:tc>
          <w:tcPr>
            <w:tcW w:w="1250" w:type="pct"/>
          </w:tcPr>
          <w:p w14:paraId="66079686" w14:textId="77777777" w:rsidR="00F51AF5" w:rsidRPr="008768CB" w:rsidRDefault="00B64DB0">
            <w:pPr>
              <w:pStyle w:val="Compact"/>
              <w:rPr>
                <w:b w:val="0"/>
                <w:sz w:val="17"/>
              </w:rPr>
            </w:pPr>
            <w:r w:rsidRPr="008768CB">
              <w:rPr>
                <w:b w:val="0"/>
                <w:sz w:val="17"/>
              </w:rPr>
              <w:t>Where</w:t>
            </w:r>
          </w:p>
        </w:tc>
        <w:tc>
          <w:tcPr>
            <w:tcW w:w="1250" w:type="pct"/>
          </w:tcPr>
          <w:p w14:paraId="4C26840C" w14:textId="77777777" w:rsidR="00F51AF5" w:rsidRPr="008768CB" w:rsidRDefault="00B64DB0">
            <w:pPr>
              <w:pStyle w:val="Compact"/>
              <w:rPr>
                <w:b w:val="0"/>
                <w:sz w:val="17"/>
              </w:rPr>
            </w:pPr>
            <w:r w:rsidRPr="008768CB">
              <w:rPr>
                <w:b w:val="0"/>
                <w:sz w:val="17"/>
              </w:rPr>
              <w:t>Contact</w:t>
            </w:r>
          </w:p>
        </w:tc>
      </w:tr>
      <w:tr w:rsidR="00F51AF5" w:rsidRPr="008768CB" w14:paraId="2B98B1F0" w14:textId="77777777" w:rsidTr="008768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50B6D3F8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Russell Zirnhelt</w:t>
            </w:r>
          </w:p>
        </w:tc>
        <w:tc>
          <w:tcPr>
            <w:tcW w:w="1250" w:type="pct"/>
          </w:tcPr>
          <w:p w14:paraId="10EEA1F2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EVP, Ledcor Construction Ltd (buildings, Canada-wide)</w:t>
            </w:r>
          </w:p>
        </w:tc>
        <w:tc>
          <w:tcPr>
            <w:tcW w:w="1250" w:type="pct"/>
          </w:tcPr>
          <w:p w14:paraId="2DC77404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Vancouver</w:t>
            </w:r>
          </w:p>
        </w:tc>
        <w:tc>
          <w:tcPr>
            <w:tcW w:w="1250" w:type="pct"/>
          </w:tcPr>
          <w:p w14:paraId="57BA92A5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 xml:space="preserve">russell.zirnhelt@ledcor.com </w:t>
            </w:r>
            <w:r w:rsidRPr="008768CB">
              <w:rPr>
                <w:i/>
                <w:iCs/>
                <w:sz w:val="17"/>
              </w:rPr>
              <w:t>(inferred pattern, unconfirmed)</w:t>
            </w:r>
          </w:p>
        </w:tc>
      </w:tr>
      <w:tr w:rsidR="00F51AF5" w:rsidRPr="008768CB" w14:paraId="66E934FE" w14:textId="77777777" w:rsidTr="008768CB">
        <w:trPr>
          <w:cantSplit/>
        </w:trPr>
        <w:tc>
          <w:tcPr>
            <w:tcW w:w="1250" w:type="pct"/>
          </w:tcPr>
          <w:p w14:paraId="1BEF108B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Jonathan Boyce</w:t>
            </w:r>
          </w:p>
        </w:tc>
        <w:tc>
          <w:tcPr>
            <w:tcW w:w="1250" w:type="pct"/>
          </w:tcPr>
          <w:p w14:paraId="3D5A5B7E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SVP, British Columbia, Construction (early 2025)</w:t>
            </w:r>
          </w:p>
        </w:tc>
        <w:tc>
          <w:tcPr>
            <w:tcW w:w="1250" w:type="pct"/>
          </w:tcPr>
          <w:p w14:paraId="4E74D70D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Vancouver</w:t>
            </w:r>
          </w:p>
        </w:tc>
        <w:tc>
          <w:tcPr>
            <w:tcW w:w="1250" w:type="pct"/>
          </w:tcPr>
          <w:p w14:paraId="736AE53C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jonathan.boyce@ledcor.com</w:t>
            </w:r>
          </w:p>
        </w:tc>
      </w:tr>
      <w:tr w:rsidR="00F51AF5" w:rsidRPr="008768CB" w14:paraId="7A5637E3" w14:textId="77777777" w:rsidTr="008768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1BA2DA67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Aaron Grenier</w:t>
            </w:r>
          </w:p>
        </w:tc>
        <w:tc>
          <w:tcPr>
            <w:tcW w:w="1250" w:type="pct"/>
          </w:tcPr>
          <w:p w14:paraId="51A16AFF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Director, Estimating &amp; Preconstruction</w:t>
            </w:r>
          </w:p>
        </w:tc>
        <w:tc>
          <w:tcPr>
            <w:tcW w:w="1250" w:type="pct"/>
          </w:tcPr>
          <w:p w14:paraId="3892A0B7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Edmonton [I]</w:t>
            </w:r>
          </w:p>
        </w:tc>
        <w:tc>
          <w:tcPr>
            <w:tcW w:w="1250" w:type="pct"/>
          </w:tcPr>
          <w:p w14:paraId="6C2C4B6B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 xml:space="preserve">aaron.grenier@ledcor.com </w:t>
            </w:r>
            <w:r w:rsidRPr="008768CB">
              <w:rPr>
                <w:i/>
                <w:iCs/>
                <w:sz w:val="17"/>
              </w:rPr>
              <w:t>(verified)</w:t>
            </w:r>
          </w:p>
        </w:tc>
      </w:tr>
      <w:tr w:rsidR="00F51AF5" w:rsidRPr="008768CB" w14:paraId="3FB95660" w14:textId="77777777" w:rsidTr="008768CB">
        <w:trPr>
          <w:cantSplit/>
        </w:trPr>
        <w:tc>
          <w:tcPr>
            <w:tcW w:w="1250" w:type="pct"/>
          </w:tcPr>
          <w:p w14:paraId="58AAEE95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Barry Murphy</w:t>
            </w:r>
          </w:p>
        </w:tc>
        <w:tc>
          <w:tcPr>
            <w:tcW w:w="1250" w:type="pct"/>
          </w:tcPr>
          <w:p w14:paraId="308FB25B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Director of Business Development</w:t>
            </w:r>
          </w:p>
        </w:tc>
        <w:tc>
          <w:tcPr>
            <w:tcW w:w="1250" w:type="pct"/>
          </w:tcPr>
          <w:p w14:paraId="13BA19F0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—</w:t>
            </w:r>
          </w:p>
        </w:tc>
        <w:tc>
          <w:tcPr>
            <w:tcW w:w="1250" w:type="pct"/>
          </w:tcPr>
          <w:p w14:paraId="6581CD99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 xml:space="preserve">barry.murphy@ledcor.com </w:t>
            </w:r>
            <w:r w:rsidRPr="008768CB">
              <w:rPr>
                <w:i/>
                <w:iCs/>
                <w:sz w:val="17"/>
              </w:rPr>
              <w:t>(verified)</w:t>
            </w:r>
          </w:p>
        </w:tc>
      </w:tr>
      <w:tr w:rsidR="00F51AF5" w:rsidRPr="008768CB" w14:paraId="799E7C93" w14:textId="77777777" w:rsidTr="008768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44337B04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Jeff Thompson</w:t>
            </w:r>
          </w:p>
        </w:tc>
        <w:tc>
          <w:tcPr>
            <w:tcW w:w="1250" w:type="pct"/>
          </w:tcPr>
          <w:p w14:paraId="06030FA4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SVP, Corporate Development &amp; National Accounts, Construction</w:t>
            </w:r>
          </w:p>
        </w:tc>
        <w:tc>
          <w:tcPr>
            <w:tcW w:w="1250" w:type="pct"/>
          </w:tcPr>
          <w:p w14:paraId="3E7BA91F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—</w:t>
            </w:r>
          </w:p>
        </w:tc>
        <w:tc>
          <w:tcPr>
            <w:tcW w:w="1250" w:type="pct"/>
          </w:tcPr>
          <w:p w14:paraId="2913D9FD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 xml:space="preserve">jeff.thompson@ledcor.com </w:t>
            </w:r>
            <w:r w:rsidRPr="008768CB">
              <w:rPr>
                <w:i/>
                <w:iCs/>
                <w:sz w:val="17"/>
              </w:rPr>
              <w:t>(verified)</w:t>
            </w:r>
          </w:p>
        </w:tc>
      </w:tr>
      <w:tr w:rsidR="00F51AF5" w:rsidRPr="008768CB" w14:paraId="3042BA57" w14:textId="77777777" w:rsidTr="008768CB">
        <w:trPr>
          <w:cantSplit/>
        </w:trPr>
        <w:tc>
          <w:tcPr>
            <w:tcW w:w="1250" w:type="pct"/>
          </w:tcPr>
          <w:p w14:paraId="501E000C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Lorne Wolinsky</w:t>
            </w:r>
          </w:p>
        </w:tc>
        <w:tc>
          <w:tcPr>
            <w:tcW w:w="1250" w:type="pct"/>
          </w:tcPr>
          <w:p w14:paraId="29F4B4E3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VP, Development (Ledcor Properties)</w:t>
            </w:r>
          </w:p>
        </w:tc>
        <w:tc>
          <w:tcPr>
            <w:tcW w:w="1250" w:type="pct"/>
          </w:tcPr>
          <w:p w14:paraId="2BCC2ADA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Vancouver</w:t>
            </w:r>
          </w:p>
        </w:tc>
        <w:tc>
          <w:tcPr>
            <w:tcW w:w="1250" w:type="pct"/>
          </w:tcPr>
          <w:p w14:paraId="5294C47C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via KOR’s active LPI projects</w:t>
            </w:r>
          </w:p>
        </w:tc>
      </w:tr>
      <w:tr w:rsidR="00F51AF5" w:rsidRPr="008768CB" w14:paraId="58FD42DF" w14:textId="77777777" w:rsidTr="008768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0AF367A9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Andrew Voysey</w:t>
            </w:r>
          </w:p>
        </w:tc>
        <w:tc>
          <w:tcPr>
            <w:tcW w:w="1250" w:type="pct"/>
          </w:tcPr>
          <w:p w14:paraId="36DC7FE2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EVP, Ledcor Properties (top Properties seat on current rosters; mandate is North-America-wide)</w:t>
            </w:r>
          </w:p>
        </w:tc>
        <w:tc>
          <w:tcPr>
            <w:tcW w:w="1250" w:type="pct"/>
          </w:tcPr>
          <w:p w14:paraId="4422D180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Vancouver</w:t>
            </w:r>
          </w:p>
        </w:tc>
        <w:tc>
          <w:tcPr>
            <w:tcW w:w="1250" w:type="pct"/>
          </w:tcPr>
          <w:p w14:paraId="06CBF186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via LPI</w:t>
            </w:r>
          </w:p>
        </w:tc>
      </w:tr>
      <w:tr w:rsidR="00F51AF5" w:rsidRPr="008768CB" w14:paraId="522565DD" w14:textId="77777777" w:rsidTr="008768CB">
        <w:trPr>
          <w:cantSplit/>
        </w:trPr>
        <w:tc>
          <w:tcPr>
            <w:tcW w:w="1250" w:type="pct"/>
          </w:tcPr>
          <w:p w14:paraId="06FB50C3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John Santry</w:t>
            </w:r>
          </w:p>
        </w:tc>
        <w:tc>
          <w:tcPr>
            <w:tcW w:w="1250" w:type="pct"/>
          </w:tcPr>
          <w:p w14:paraId="725603F5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SVP, US Mainland, Ledcor Properties (active 2026 per independent profiles + ALARA press; not on ledcor.com’s exec page)</w:t>
            </w:r>
          </w:p>
        </w:tc>
        <w:tc>
          <w:tcPr>
            <w:tcW w:w="1250" w:type="pct"/>
          </w:tcPr>
          <w:p w14:paraId="68E2B3E7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San Diego, CA</w:t>
            </w:r>
          </w:p>
        </w:tc>
        <w:tc>
          <w:tcPr>
            <w:tcW w:w="1250" w:type="pct"/>
          </w:tcPr>
          <w:p w14:paraId="5C1CA651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via the LPI relationship / US intro</w:t>
            </w:r>
          </w:p>
        </w:tc>
      </w:tr>
      <w:tr w:rsidR="00F51AF5" w:rsidRPr="008768CB" w14:paraId="1F2F5ABF" w14:textId="77777777" w:rsidTr="008768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7FC1B376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Jeff Watt</w:t>
            </w:r>
          </w:p>
        </w:tc>
        <w:tc>
          <w:tcPr>
            <w:tcW w:w="1250" w:type="pct"/>
          </w:tcPr>
          <w:p w14:paraId="450EB073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President, Ledcor Group of Companies (Jan 2025)</w:t>
            </w:r>
          </w:p>
        </w:tc>
        <w:tc>
          <w:tcPr>
            <w:tcW w:w="1250" w:type="pct"/>
          </w:tcPr>
          <w:p w14:paraId="5F940BE9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Vancouver</w:t>
            </w:r>
          </w:p>
        </w:tc>
        <w:tc>
          <w:tcPr>
            <w:tcW w:w="1250" w:type="pct"/>
          </w:tcPr>
          <w:p w14:paraId="4D99C535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 xml:space="preserve">jeff.watt@ledcor.com </w:t>
            </w:r>
            <w:r w:rsidRPr="008768CB">
              <w:rPr>
                <w:i/>
                <w:iCs/>
                <w:sz w:val="17"/>
              </w:rPr>
              <w:t>(inferred pattern, unconfirmed)</w:t>
            </w:r>
          </w:p>
        </w:tc>
      </w:tr>
      <w:tr w:rsidR="00F51AF5" w:rsidRPr="008768CB" w14:paraId="0B3B8CCD" w14:textId="77777777" w:rsidTr="008768CB">
        <w:trPr>
          <w:cantSplit/>
        </w:trPr>
        <w:tc>
          <w:tcPr>
            <w:tcW w:w="1250" w:type="pct"/>
          </w:tcPr>
          <w:p w14:paraId="76B918B7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Dave Lede</w:t>
            </w:r>
          </w:p>
        </w:tc>
        <w:tc>
          <w:tcPr>
            <w:tcW w:w="1250" w:type="pct"/>
          </w:tcPr>
          <w:p w14:paraId="35F621B0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Chairman and CEO</w:t>
            </w:r>
          </w:p>
        </w:tc>
        <w:tc>
          <w:tcPr>
            <w:tcW w:w="1250" w:type="pct"/>
          </w:tcPr>
          <w:p w14:paraId="3E77247F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Vancouver</w:t>
            </w:r>
          </w:p>
        </w:tc>
        <w:tc>
          <w:tcPr>
            <w:tcW w:w="1250" w:type="pct"/>
          </w:tcPr>
          <w:p w14:paraId="7BBFE184" w14:textId="77777777" w:rsidR="00F51AF5" w:rsidRPr="008768CB" w:rsidRDefault="00B64DB0">
            <w:pPr>
              <w:pStyle w:val="Compact"/>
              <w:rPr>
                <w:sz w:val="17"/>
              </w:rPr>
            </w:pPr>
            <w:r w:rsidRPr="008768CB">
              <w:rPr>
                <w:sz w:val="17"/>
              </w:rPr>
              <w:t>relationship level</w:t>
            </w:r>
          </w:p>
        </w:tc>
      </w:tr>
    </w:tbl>
    <w:p w14:paraId="06955417" w14:textId="77777777" w:rsidR="00F51AF5" w:rsidRDefault="00B64DB0">
      <w:pPr>
        <w:pStyle w:val="BodyText"/>
      </w:pPr>
      <w:r>
        <w:rPr>
          <w:i/>
          <w:iCs/>
        </w:rPr>
        <w:t>Dropped after verification (do not cite):</w:t>
      </w:r>
      <w:r>
        <w:t xml:space="preserve"> Billy O’Donovan (likely departed — his LinkedIn signals another firm), “Mike Roper, VP Northern Alberta” (aggregator-only, no primary source), and </w:t>
      </w:r>
      <w:r>
        <w:rPr>
          <w:b/>
          <w:bCs/>
        </w:rPr>
        <w:t>Pat Patterson as Properties President</w:t>
      </w:r>
      <w:r>
        <w:t xml:space="preserve"> </w:t>
      </w:r>
      <w:r>
        <w:t>(traces to a 2020 release; absent from Ledcor’s current executive and Properties team pages — re-checked 2026-07-02). Development-arm working contacts are best reached through KOR’s live LPI projects — our PMs already know them.</w:t>
      </w:r>
    </w:p>
    <w:p w14:paraId="29C7B200" w14:textId="77777777" w:rsidR="00F51AF5" w:rsidRDefault="00B64DB0">
      <w:pPr>
        <w:pStyle w:val="Heading2"/>
      </w:pPr>
      <w:bookmarkStart w:id="7" w:name="X5ad679a6ce2366714e7dff38fad8d0165fa549c"/>
      <w:bookmarkEnd w:id="6"/>
      <w:r>
        <w:t>7. The skeptic’s section — risks, weaknesses, and what we could not verify</w:t>
      </w:r>
    </w:p>
    <w:p w14:paraId="6D0473F4" w14:textId="77777777" w:rsidR="00F51AF5" w:rsidRDefault="00B64DB0">
      <w:pPr>
        <w:pStyle w:val="FirstParagraph"/>
      </w:pPr>
      <w:r>
        <w:rPr>
          <w:b/>
          <w:bCs/>
        </w:rPr>
        <w:t>Adverse findings on the record [V]:</w:t>
      </w:r>
    </w:p>
    <w:p w14:paraId="5EE13C31" w14:textId="77777777" w:rsidR="00F51AF5" w:rsidRDefault="00B64DB0">
      <w:pPr>
        <w:pStyle w:val="Compact"/>
        <w:numPr>
          <w:ilvl w:val="0"/>
          <w:numId w:val="5"/>
        </w:numPr>
      </w:pPr>
      <w:r>
        <w:rPr>
          <w:b/>
          <w:bCs/>
        </w:rPr>
        <w:t>CIRB (two orders):</w:t>
      </w:r>
      <w:r>
        <w:t xml:space="preserve"> the Board unanimously found </w:t>
      </w:r>
      <w:r>
        <w:rPr>
          <w:b/>
          <w:bCs/>
        </w:rPr>
        <w:t>LTS Solutions — Ledcor’s telecom-services subsidiary, not the Building division KOR would contract with</w:t>
      </w:r>
      <w:r>
        <w:t xml:space="preserve"> </w:t>
      </w:r>
      <w:r>
        <w:t xml:space="preserve">— bargained in bad faith with IBEW Local 213 (finding dated </w:t>
      </w:r>
      <w:r>
        <w:rPr>
          <w:b/>
          <w:bCs/>
        </w:rPr>
        <w:t>Nov 10, 2022</w:t>
      </w:r>
      <w:r>
        <w:t xml:space="preserve">: “makes a mockery of the collective bargaining process”), then imposed a two-year first collective agreement by a </w:t>
      </w:r>
      <w:r>
        <w:rPr>
          <w:b/>
          <w:bCs/>
        </w:rPr>
        <w:t>separate order, June 22, 2023</w:t>
      </w:r>
      <w:r>
        <w:t xml:space="preserve"> — reported in the trade press as the first successful Canada Labour Code first-agreement imposition since 1986. The dispute ran from the union’s Aug 2017 certification. A formal federal adverse finding against a group company, disclosed here for completeness and scoped accurately.</w:t>
      </w:r>
    </w:p>
    <w:p w14:paraId="01CF1B04" w14:textId="77777777" w:rsidR="00F51AF5" w:rsidRDefault="00B64DB0">
      <w:pPr>
        <w:pStyle w:val="Compact"/>
        <w:numPr>
          <w:ilvl w:val="0"/>
          <w:numId w:val="5"/>
        </w:numPr>
      </w:pPr>
      <w:r>
        <w:rPr>
          <w:b/>
          <w:bCs/>
        </w:rPr>
        <w:t>DMS v. Ledcor Construction, 2025 ONSC 5100:</w:t>
      </w:r>
      <w:r>
        <w:t xml:space="preserve"> Ledcor’s termination of a subcontractor was </w:t>
      </w:r>
      <w:r>
        <w:rPr>
          <w:b/>
          <w:bCs/>
        </w:rPr>
        <w:t>upheld</w:t>
      </w:r>
      <w:r>
        <w:t xml:space="preserve"> (chronic understaffing, repeated warnings), but the court cut Ledcor’s back-charges from $5.55M claimed to $2.45M awarded and rejected its delay claim entirely for lack of critical-path analysis. The judicial criticism ran in both directions — read it as a caution on documentation discipline, not a scandal. A companion ruling, </w:t>
      </w:r>
      <w:r>
        <w:rPr>
          <w:b/>
          <w:bCs/>
        </w:rPr>
        <w:t>2026 ONSC 188</w:t>
      </w:r>
      <w:r>
        <w:t xml:space="preserve">, later awarded Ledcor </w:t>
      </w:r>
      <w:r>
        <w:rPr>
          <w:b/>
          <w:bCs/>
        </w:rPr>
        <w:t>$415K in costs</w:t>
      </w:r>
      <w:r>
        <w:t xml:space="preserve"> </w:t>
      </w:r>
      <w:r>
        <w:t xml:space="preserve">against DMS — on balance the litigation record favours Ledcor. </w:t>
      </w:r>
      <w:r>
        <w:rPr>
          <w:b/>
          <w:bCs/>
        </w:rPr>
        <w:t>Soft numbers [I]:</w:t>
      </w:r>
      <w:r>
        <w:t xml:space="preserve"> revenue/headcount/ranking figures are aggregator estimates — Ledcor publishes no audited financials. Nothing in this dossier hangs on them. </w:t>
      </w:r>
      <w:r>
        <w:rPr>
          <w:b/>
          <w:bCs/>
        </w:rPr>
        <w:t>Thin spots [V]:</w:t>
      </w:r>
      <w:r>
        <w:t xml:space="preserve"> healthcare-buildings record beyond the PHSA campus is thin (Section 4); no data-centre building work found despite marketing; the “Telus Living — no SE named” </w:t>
      </w:r>
      <w:r>
        <w:t xml:space="preserve">finding is absence-of-evidence across public coverage (the rezoning booklets themselves returned errors on direct fetch). </w:t>
      </w:r>
      <w:r>
        <w:rPr>
          <w:b/>
          <w:bCs/>
        </w:rPr>
        <w:t>Could not be checked by machine (open items):</w:t>
      </w:r>
      <w:r>
        <w:t xml:space="preserve"> </w:t>
      </w:r>
      <w:r>
        <w:t>WorkSafeBC and US OSHA penalty databases (require manual queries); BC Bid / Alberta Purchasing Connection postings (not indexable — a live pursuit could exist there without appearing in this document); confirmation of who leads Ledcor’s Edmonton buildings office; the structural engineer of record on six of the seven US projects (city permit-portal lookups would resolve); the US portfolio’s total value (the “8 projects / $2B+” figure dates from a 2020 release — treat as directional only).</w:t>
      </w:r>
    </w:p>
    <w:p w14:paraId="014C1B8F" w14:textId="77777777" w:rsidR="00F51AF5" w:rsidRDefault="00B64DB0">
      <w:pPr>
        <w:pStyle w:val="Heading2"/>
      </w:pPr>
      <w:bookmarkStart w:id="8" w:name="recommended-actions-dated"/>
      <w:bookmarkEnd w:id="7"/>
      <w:r>
        <w:t>8. Recommended actions (dated)</w:t>
      </w:r>
    </w:p>
    <w:p w14:paraId="5FC9EBC8" w14:textId="77777777" w:rsidR="00F51AF5" w:rsidRDefault="00B64DB0">
      <w:pPr>
        <w:pStyle w:val="Compact"/>
        <w:numPr>
          <w:ilvl w:val="0"/>
          <w:numId w:val="6"/>
        </w:numPr>
      </w:pPr>
      <w:r>
        <w:rPr>
          <w:b/>
          <w:bCs/>
        </w:rPr>
        <w:t>Now:</w:t>
      </w:r>
      <w:r>
        <w:t xml:space="preserve"> close </w:t>
      </w:r>
      <w:r>
        <w:rPr>
          <w:b/>
          <w:bCs/>
        </w:rPr>
        <w:t>Steveston ($61k — the one live proposal)</w:t>
      </w:r>
      <w:r>
        <w:t xml:space="preserve"> and progress Deep Cove. Get the </w:t>
      </w:r>
      <w:r>
        <w:rPr>
          <w:b/>
          <w:bCs/>
        </w:rPr>
        <w:t>loss debrief</w:t>
      </w:r>
      <w:r>
        <w:t xml:space="preserve"> on E 10th and Kingsway (both Deltek stage LOST, winner not recorded — Trinity Triangle’s loss was recorded June 18, 2026): who won, and on fee or relationship? The answer likely names the competitor for the rest of the program.</w:t>
      </w:r>
    </w:p>
    <w:p w14:paraId="60673648" w14:textId="77777777" w:rsidR="00F51AF5" w:rsidRDefault="00B64DB0">
      <w:pPr>
        <w:pStyle w:val="Compact"/>
        <w:numPr>
          <w:ilvl w:val="0"/>
          <w:numId w:val="6"/>
        </w:numPr>
      </w:pPr>
      <w:r>
        <w:rPr>
          <w:b/>
          <w:bCs/>
        </w:rPr>
        <w:t>July:</w:t>
      </w:r>
      <w:r>
        <w:t xml:space="preserve"> </w:t>
      </w:r>
      <w:r>
        <w:t>ask Wolinsky/LPI for a program-level conversation from inside the active relationship — KOR invoiced three LPI projects in June. The honest pitch: KOR holds W 10th and Chester; make the case to consolidate the program’s remaining structural work, and use the conversation to learn who took E 10th and Kingsway.</w:t>
      </w:r>
    </w:p>
    <w:p w14:paraId="729A650F" w14:textId="77777777" w:rsidR="00F51AF5" w:rsidRDefault="00B64DB0">
      <w:pPr>
        <w:pStyle w:val="Compact"/>
        <w:numPr>
          <w:ilvl w:val="0"/>
          <w:numId w:val="6"/>
        </w:numPr>
      </w:pPr>
      <w:r>
        <w:rPr>
          <w:b/>
          <w:bCs/>
        </w:rPr>
        <w:t>July–August:</w:t>
      </w:r>
      <w:r>
        <w:t xml:space="preserve"> </w:t>
      </w:r>
      <w:r>
        <w:t>introduce KOR to Ledcor Construction’s precon/BD (Grenier, Murphy; Boyce at the relationship level) — goal: be on the call list for the next design-build pursuit’s structural seat. Reference the live LPI work as the family credential.</w:t>
      </w:r>
    </w:p>
    <w:p w14:paraId="2823E8C9" w14:textId="77777777" w:rsidR="00F51AF5" w:rsidRDefault="00B64DB0">
      <w:pPr>
        <w:pStyle w:val="Compact"/>
        <w:numPr>
          <w:ilvl w:val="0"/>
          <w:numId w:val="6"/>
        </w:numPr>
      </w:pPr>
      <w:r>
        <w:rPr>
          <w:b/>
          <w:bCs/>
        </w:rPr>
        <w:t>Monitor:</w:t>
      </w:r>
      <w:r>
        <w:t xml:space="preserve"> the re-set Surrey City Centre Arena (June 30 Wesgroup land-swap; ~$360M, new King George Blvd site, construction ~2027) — watch for the design-team procurement; the clock is 2027, not August.</w:t>
      </w:r>
    </w:p>
    <w:p w14:paraId="04A63613" w14:textId="77777777" w:rsidR="00F51AF5" w:rsidRDefault="00B64DB0">
      <w:pPr>
        <w:pStyle w:val="Compact"/>
        <w:numPr>
          <w:ilvl w:val="0"/>
          <w:numId w:val="6"/>
        </w:numPr>
      </w:pPr>
      <w:r>
        <w:rPr>
          <w:b/>
          <w:bCs/>
        </w:rPr>
        <w:t>Q3 (US):</w:t>
      </w:r>
      <w:r>
        <w:t xml:space="preserve"> </w:t>
      </w:r>
      <w:r>
        <w:t xml:space="preserve">brief KOR’s San Diego office on Ledcor Development LP — its US head office is in San Diego, ALARA is building there now (delivery targeted Q1 2027 — background), and the pursuit-shaped work is the </w:t>
      </w:r>
      <w:r>
        <w:rPr>
          <w:b/>
          <w:bCs/>
        </w:rPr>
        <w:t>Hercules “Village” townhomes (approved Sept 2025) and the Sunny Creek Carlsbad phases</w:t>
      </w:r>
      <w:r>
        <w:t>. The introduction can travel through the live Vancouver relationship: Voysey’s mandate covers North America, and KOR’s ledger already holds the Lede Residence, La Jolla. Target: John Santry (SVP, US Mainland, San Diego).</w:t>
      </w:r>
    </w:p>
    <w:p w14:paraId="77751C37" w14:textId="77777777" w:rsidR="00F51AF5" w:rsidRDefault="00B64DB0">
      <w:pPr>
        <w:pStyle w:val="Compact"/>
        <w:numPr>
          <w:ilvl w:val="0"/>
          <w:numId w:val="6"/>
        </w:numPr>
      </w:pPr>
      <w:r>
        <w:rPr>
          <w:b/>
          <w:bCs/>
        </w:rPr>
        <w:t>Ongoing:</w:t>
      </w:r>
      <w:r>
        <w:t xml:space="preserve"> progress the two Alberta CRM engagements already in KOR’s system; verify Ledcor’s Edmonton buildings leadership before any AB outreach.</w:t>
      </w:r>
    </w:p>
    <w:p w14:paraId="62C8555A" w14:textId="77777777" w:rsidR="00F51AF5" w:rsidRDefault="00B64DB0">
      <w:r>
        <w:pict w14:anchorId="7EAE57B0">
          <v:rect id="_x0000_i1026" style="width:0;height:1.5pt" o:hralign="center" o:hrstd="t" o:hr="t"/>
        </w:pict>
      </w:r>
    </w:p>
    <w:p w14:paraId="3A7F42C6" w14:textId="77777777" w:rsidR="00F51AF5" w:rsidRDefault="00B64DB0">
      <w:pPr>
        <w:pStyle w:val="Heading2"/>
      </w:pPr>
      <w:bookmarkStart w:id="9" w:name="appendix-source-list-primary"/>
      <w:bookmarkEnd w:id="8"/>
      <w:r>
        <w:t>Appendix — source list (primary)</w:t>
      </w:r>
    </w:p>
    <w:p w14:paraId="3F31810B" w14:textId="77777777" w:rsidR="00F51AF5" w:rsidRDefault="00B64DB0">
      <w:pPr>
        <w:pStyle w:val="FirstParagraph"/>
      </w:pPr>
      <w:r>
        <w:t>ledcor.com (executive profiles, locations, newsroom incl. Patterson-2020 and davisReed-2019 releases, US pages, project galleries) · ledcordevelopment.com (team; contact page — US head office; Sunny Creek project page) · businesswire.com (ALARA groundbreaking, Apr 2025) · pacific-structures.com + buildgc.com (Shoreline Gateway design team incl. Englekirk) · Hercules, CA council coverage (The Village approval, Sept 2025) · news.gov.bc.ca (BC Children’s DB selection; BCIT opening) · fastepp.com (BC Children’s</w:t>
      </w:r>
      <w:r>
        <w:t xml:space="preserve"> + BCIT structural credits) · equilibrium-eq.com (Northern Lights College) · facilities.ubc.ca (Brock Commons — Urban One) · council.vancouver.ca (E 10th May 5 2026 + Chester Nov 13 2025 approvals) · shapeyourcity.ca + Daily Hive (3696 Kingsway) · CityHallWatch (Arbutus Walk approval) · surrey.ca + Daily Hive (City Centre Arena procurement) · ellisdon.com / bird.ca / pcl.com (healthcare counter-record) · canada.constructconnect.com (CIRB ruling; James Cowan) · CanLII via Singleton Reynolds (2025 ONSC 5100) </w:t>
      </w:r>
      <w:r>
        <w:t>· burnaby.ca (James Cowan) · KOR Deltek/CRM (pursuit and engagement records; check the project stages and fee-proposal statuses directly by the project numbers given in Section 2).</w:t>
      </w:r>
      <w:r>
        <w:t xml:space="preserve"> </w:t>
      </w:r>
      <w:r>
        <w:rPr>
          <w:i/>
          <w:iCs/>
        </w:rPr>
        <w:t>Research method: KOR’s internal records first, then three independent research passes, then two independent fact-checking passes that corrected or removed every claim that failed (Brock Commons misattribution removed; two people dropped; tower statuses updated to the current approvals; one structural-engineer rumour cut). Prepared 2026-07-01. Independent re-review 2026-07-02: Patterson dropped (stale — Voysey holds the Properties seat), Surrey Arena watch re-set to the June 30 Wesgroup land-swap announcemen</w:t>
      </w:r>
      <w:r>
        <w:rPr>
          <w:i/>
          <w:iCs/>
        </w:rPr>
        <w:t>t, CIRB dates made precise (Nov 2022 finding; Jun 2023 imposition; telecom subsidiary scoped), 2026 ONSC 188 costs award added, BCIT date corrected, and absence-of-evidence findings retagged [I]. Every other load-bearing claim — the verified project set, the remaining named people, the court figures to the dollar, all four tower statuses — survived fresh primary-source re-checks. Update 2026-07-02: invoiced-revenue figures pulled directly from the Deltek ledger (account 4001);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>every pursuit status re-verified against Deltek’s current project stages, which corrected the earlier “pending” list — the E 10th and Kingsway proposals are lost, not pending</w:t>
      </w:r>
      <w:r>
        <w:rPr>
          <w:i/>
          <w:iCs/>
        </w:rPr>
        <w:t xml:space="preserve"> </w:t>
      </w:r>
      <w:r>
        <w:rPr>
          <w:i/>
          <w:iCs/>
        </w:rPr>
        <w:t>(this document reports the win/loss record as Deltek shows it); the Trinity bookkeeping question resolved (two separate projects, both lost); and a US-development section added after its own research pass plus an independent fact-check (six claims tested: five confirmed, one corrected — the check found an additional approved Bay Area project the first pass had missed). Final same-day review pair (19 external claims re-fetched; full internal-consistency audit): one factual error caught and fixed (Ledcor Deve</w:t>
      </w:r>
      <w:r>
        <w:rPr>
          <w:i/>
          <w:iCs/>
        </w:rPr>
        <w:t>lopment’s US head office is San Diego, not Irvine — per its own contact page), evidence tags tightened, and every figure re-cross-checked against Deltek and the source list.</w:t>
      </w:r>
      <w:bookmarkEnd w:id="0"/>
      <w:bookmarkEnd w:id="9"/>
    </w:p>
    <w:sectPr w:rsidR="00F51AF5" w:rsidSect="008768CB">
      <w:footnotePr>
        <w:numRestart w:val="eachSect"/>
      </w:footnotePr>
      <w:pgSz w:w="12240" w:h="15840"/>
      <w:pgMar w:top="860" w:right="1000" w:bottom="860" w:left="1000" w:header="720" w:footer="720" w:gutter="0"/>
      <w:cols w:space="720"/>
      <w:docGrid w:linePitch="2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E4AB2B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97C33A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0D48D9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19424783">
    <w:abstractNumId w:val="0"/>
  </w:num>
  <w:num w:numId="2" w16cid:durableId="16437356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846755275">
    <w:abstractNumId w:val="1"/>
  </w:num>
  <w:num w:numId="4" w16cid:durableId="1357002425">
    <w:abstractNumId w:val="1"/>
  </w:num>
  <w:num w:numId="5" w16cid:durableId="1205828979">
    <w:abstractNumId w:val="1"/>
  </w:num>
  <w:num w:numId="6" w16cid:durableId="1483994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51AF5"/>
    <w:rsid w:val="000420ED"/>
    <w:rsid w:val="008768CB"/>
    <w:rsid w:val="00B64DB0"/>
    <w:rsid w:val="00F51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78CA78"/>
  <w15:docId w15:val="{755C7470-76C2-4D77-B588-7204D9AFF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40"/>
    </w:pPr>
    <w:rPr>
      <w:rFonts w:ascii="Calibri" w:hAnsi="Calibri" w:cs="Calibri"/>
      <w:sz w:val="18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00" w:after="20"/>
      <w:outlineLvl w:val="0"/>
    </w:pPr>
    <w:rPr>
      <w:rFonts w:eastAsiaTheme="majorEastAsia"/>
      <w:b/>
      <w:color w:val="1F3B5F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/>
      <w:outlineLvl w:val="2"/>
    </w:pPr>
    <w:rPr>
      <w:rFonts w:eastAsiaTheme="majorEastAsia"/>
      <w:b/>
      <w:color w:val="44546A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before="100" w:after="20"/>
      <w:contextualSpacing/>
      <w:jc w:val="center"/>
    </w:pPr>
    <w:rPr>
      <w:rFonts w:eastAsiaTheme="majorEastAsia"/>
      <w:b/>
      <w:color w:val="1F3B5F"/>
      <w:sz w:val="2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eastAsiaTheme="majorEastAsia" w:hAnsi="Calibri" w:cs="Calibri"/>
      <w:b/>
      <w:color w:val="1F3B5F"/>
      <w:sz w:val="2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eastAsiaTheme="majorEastAsia" w:hAnsi="Calibri" w:cs="Calibri"/>
      <w:b/>
      <w:color w:val="1F3B5F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eastAsiaTheme="majorEastAsia" w:hAnsi="Calibri" w:cs="Calibr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eastAsiaTheme="majorEastAsia" w:hAnsi="Calibri" w:cs="Calibri"/>
      <w:b/>
      <w:color w:val="44546A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GridTable4">
    <w:name w:val="Grid Table 4"/>
    <w:basedOn w:val="TableNormal"/>
    <w:uiPriority w:val="49"/>
    <w:rsid w:val="008768C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3591</Words>
  <Characters>20471</Characters>
  <Application>Microsoft Office Word</Application>
  <DocSecurity>0</DocSecurity>
  <Lines>170</Lines>
  <Paragraphs>48</Paragraphs>
  <ScaleCrop>false</ScaleCrop>
  <Company/>
  <LinksUpToDate>false</LinksUpToDate>
  <CharactersWithSpaces>24014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Ian Lalonde</cp:lastModifiedBy>
  <cp:revision>2</cp:revision>
  <dcterms:created xsi:type="dcterms:W3CDTF">2026-07-03T00:07:00Z</dcterms:created>
  <dcterms:modified xsi:type="dcterms:W3CDTF">2026-07-03T00:07:00Z</dcterms:modified>
</cp:coreProperties>
</file>